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1"/>
        <w:tabs>
          <w:tab w:val="right" w:pos="9360"/>
        </w:tabs>
        <w:spacing w:after="60" w:line="240" w:lineRule="auto"/>
        <w:jc w:val="both"/>
        <w:rPr>
          <w:rFonts w:hint="default" w:eastAsia="宋体" w:cs="Arial"/>
          <w:b/>
          <w:color w:val="FFFFFF"/>
          <w:sz w:val="22"/>
          <w:szCs w:val="22"/>
          <w:lang w:val="en-US" w:eastAsia="zh-CN"/>
        </w:rPr>
      </w:pPr>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110</w:t>
      </w:r>
      <w:r>
        <w:rPr>
          <w:rFonts w:eastAsia="宋体" w:cs="Arial"/>
          <w:b/>
          <w:sz w:val="22"/>
          <w:szCs w:val="22"/>
          <w:lang w:val="en-US" w:eastAsia="zh-CN"/>
        </w:rPr>
        <w:tab/>
      </w:r>
      <w:r>
        <w:rPr>
          <w:rFonts w:eastAsia="宋体" w:cs="Arial"/>
          <w:b/>
          <w:sz w:val="22"/>
          <w:szCs w:val="22"/>
          <w:lang w:val="sv-SE" w:eastAsia="zh-CN"/>
        </w:rPr>
        <w:t>R1-2</w:t>
      </w:r>
      <w:r>
        <w:rPr>
          <w:rFonts w:hint="eastAsia" w:eastAsia="宋体" w:cs="Arial"/>
          <w:b/>
          <w:sz w:val="22"/>
          <w:szCs w:val="22"/>
          <w:lang w:val="en-US" w:eastAsia="zh-CN"/>
        </w:rPr>
        <w:t>2</w:t>
      </w:r>
      <w:r>
        <w:rPr>
          <w:rFonts w:eastAsia="宋体" w:cs="Arial"/>
          <w:b/>
          <w:sz w:val="22"/>
          <w:szCs w:val="22"/>
          <w:lang w:val="en-US" w:eastAsia="zh-CN"/>
        </w:rPr>
        <w:t>0</w:t>
      </w:r>
      <w:r>
        <w:rPr>
          <w:rFonts w:hint="eastAsia" w:eastAsia="宋体" w:cs="Arial"/>
          <w:b/>
          <w:sz w:val="22"/>
          <w:szCs w:val="22"/>
          <w:lang w:val="en-US" w:eastAsia="zh-CN"/>
        </w:rPr>
        <w:t>6207</w:t>
      </w:r>
    </w:p>
    <w:p>
      <w:pPr>
        <w:pStyle w:val="41"/>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Toulouse, France</w:t>
      </w:r>
      <w:r>
        <w:rPr>
          <w:rFonts w:eastAsia="宋体" w:cs="Arial"/>
          <w:b/>
          <w:bCs/>
          <w:sz w:val="22"/>
          <w:szCs w:val="22"/>
          <w:lang w:val="en-US" w:eastAsia="zh-CN"/>
        </w:rPr>
        <w:t xml:space="preserve">, </w:t>
      </w:r>
      <w:r>
        <w:rPr>
          <w:rFonts w:hint="eastAsia" w:eastAsia="宋体" w:cs="Arial"/>
          <w:b/>
          <w:bCs/>
          <w:sz w:val="22"/>
          <w:szCs w:val="22"/>
          <w:lang w:val="en-US" w:eastAsia="zh-CN"/>
        </w:rPr>
        <w:t>August 22</w:t>
      </w:r>
      <w:r>
        <w:rPr>
          <w:rFonts w:hint="eastAsia" w:eastAsia="宋体" w:cs="Arial"/>
          <w:b/>
          <w:bCs/>
          <w:sz w:val="22"/>
          <w:szCs w:val="22"/>
          <w:vertAlign w:val="superscript"/>
          <w:lang w:val="en-US" w:eastAsia="zh-CN"/>
        </w:rPr>
        <w:t>nd</w:t>
      </w:r>
      <w:r>
        <w:rPr>
          <w:rFonts w:eastAsia="宋体" w:cs="Arial"/>
          <w:b/>
          <w:bCs/>
          <w:sz w:val="22"/>
          <w:szCs w:val="22"/>
          <w:lang w:val="en-US" w:eastAsia="zh-CN"/>
        </w:rPr>
        <w:t xml:space="preserve"> - </w:t>
      </w:r>
      <w:r>
        <w:rPr>
          <w:rFonts w:hint="eastAsia" w:eastAsia="宋体" w:cs="Arial"/>
          <w:b/>
          <w:bCs/>
          <w:sz w:val="22"/>
          <w:szCs w:val="22"/>
          <w:lang w:val="en-US" w:eastAsia="zh-CN"/>
        </w:rPr>
        <w:t>26</w:t>
      </w:r>
      <w:r>
        <w:rPr>
          <w:rFonts w:hint="eastAsia"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22</w:t>
      </w:r>
    </w:p>
    <w:p>
      <w:pPr>
        <w:pStyle w:val="20"/>
        <w:spacing w:before="120" w:after="120"/>
        <w:rPr>
          <w:rFonts w:hint="default" w:eastAsia="宋体"/>
          <w:lang w:val="en-US" w:eastAsia="zh-CN"/>
        </w:rPr>
      </w:pPr>
      <w:r>
        <w:t xml:space="preserve">Title: </w:t>
      </w:r>
      <w:r>
        <w:tab/>
      </w:r>
      <w:r>
        <w:rPr>
          <w:rFonts w:hint="eastAsia"/>
          <w:szCs w:val="22"/>
        </w:rPr>
        <w:t xml:space="preserve">About </w:t>
      </w:r>
      <w:r>
        <w:rPr>
          <w:rFonts w:hint="eastAsia"/>
          <w:szCs w:val="22"/>
          <w:lang w:val="en-US" w:eastAsia="zh-CN"/>
        </w:rPr>
        <w:t xml:space="preserve">reply </w:t>
      </w:r>
      <w:r>
        <w:rPr>
          <w:rFonts w:hint="eastAsia"/>
          <w:szCs w:val="22"/>
        </w:rPr>
        <w:t>LS on</w:t>
      </w:r>
      <w:r>
        <w:rPr>
          <w:rFonts w:hint="eastAsia"/>
          <w:szCs w:val="22"/>
          <w:lang w:val="en-US" w:eastAsia="zh-CN"/>
        </w:rPr>
        <w:t xml:space="preserve"> RB set configuration for IAB</w:t>
      </w:r>
    </w:p>
    <w:p>
      <w:pPr>
        <w:pStyle w:val="20"/>
        <w:spacing w:before="120" w:after="120"/>
      </w:pPr>
      <w:r>
        <w:t xml:space="preserve">Source: </w:t>
      </w:r>
      <w:r>
        <w:tab/>
      </w:r>
      <w:r>
        <w:t>ZTE</w:t>
      </w:r>
      <w:r>
        <w:rPr>
          <w:rFonts w:hint="eastAsia"/>
        </w:rPr>
        <w:t>, Sanechips</w:t>
      </w:r>
    </w:p>
    <w:p>
      <w:pPr>
        <w:pStyle w:val="20"/>
        <w:spacing w:before="120"/>
      </w:pPr>
      <w:r>
        <w:t>Agenda item:</w:t>
      </w:r>
      <w:r>
        <w:tab/>
      </w:r>
      <w:r>
        <w:rPr>
          <w:rFonts w:hint="eastAsia"/>
          <w:szCs w:val="22"/>
        </w:rPr>
        <w:t>5</w:t>
      </w:r>
    </w:p>
    <w:p>
      <w:pPr>
        <w:pStyle w:val="20"/>
        <w:spacing w:before="120" w:after="120"/>
      </w:pPr>
      <w:r>
        <w:t>Document for:</w:t>
      </w:r>
      <w:r>
        <w:tab/>
      </w:r>
      <w:r>
        <w:rPr>
          <w:rFonts w:hint="eastAsia"/>
        </w:rPr>
        <w:t>Discussion</w:t>
      </w:r>
      <w:r>
        <w:t xml:space="preserve"> and decision</w:t>
      </w:r>
    </w:p>
    <w:p>
      <w:pPr>
        <w:pStyle w:val="2"/>
        <w:spacing w:before="120" w:after="120"/>
        <w:ind w:left="0"/>
        <w:rPr>
          <w:rFonts w:eastAsia="宋体"/>
        </w:rPr>
      </w:pPr>
      <w:r>
        <w:rPr>
          <w:rFonts w:hint="eastAsia" w:eastAsia="宋体"/>
        </w:rPr>
        <w:t>Introduction</w:t>
      </w:r>
    </w:p>
    <w:p>
      <w:pPr>
        <w:snapToGrid w:val="0"/>
        <w:spacing w:before="120" w:beforeLines="50" w:after="120" w:afterLines="50" w:line="240" w:lineRule="auto"/>
        <w:jc w:val="both"/>
        <w:rPr>
          <w:rFonts w:hint="eastAsia"/>
          <w:sz w:val="20"/>
          <w:szCs w:val="20"/>
          <w:lang w:val="en-US" w:eastAsia="zh-CN"/>
        </w:rPr>
      </w:pPr>
      <w:r>
        <w:rPr>
          <w:rFonts w:ascii="Arial" w:hAnsi="Arial" w:cs="Arial"/>
        </w:rPr>
        <mc:AlternateContent>
          <mc:Choice Requires="wps">
            <w:drawing>
              <wp:anchor distT="46990" distB="46990" distL="114935" distR="114935" simplePos="0" relativeHeight="251659264" behindDoc="0" locked="0" layoutInCell="1" allowOverlap="1">
                <wp:simplePos x="0" y="0"/>
                <wp:positionH relativeFrom="margin">
                  <wp:posOffset>-111125</wp:posOffset>
                </wp:positionH>
                <wp:positionV relativeFrom="paragraph">
                  <wp:posOffset>520065</wp:posOffset>
                </wp:positionV>
                <wp:extent cx="6414770" cy="1404620"/>
                <wp:effectExtent l="4445" t="4445" r="19685" b="19685"/>
                <wp:wrapTopAndBottom/>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414770" cy="1404620"/>
                        </a:xfrm>
                        <a:prstGeom prst="rect">
                          <a:avLst/>
                        </a:prstGeom>
                        <a:solidFill>
                          <a:srgbClr val="FFFFFF"/>
                        </a:solidFill>
                        <a:ln w="9525">
                          <a:solidFill>
                            <a:srgbClr val="000000"/>
                          </a:solidFill>
                          <a:miter lim="800000"/>
                        </a:ln>
                      </wps:spPr>
                      <wps:txbx>
                        <w:txbxContent>
                          <w:p>
                            <w:pPr>
                              <w:keepNext/>
                              <w:keepLines/>
                              <w:overflowPunct w:val="0"/>
                              <w:autoSpaceDE w:val="0"/>
                              <w:autoSpaceDN w:val="0"/>
                              <w:adjustRightInd w:val="0"/>
                              <w:spacing w:before="120" w:after="180"/>
                              <w:ind w:left="1418" w:hanging="1418"/>
                              <w:textAlignment w:val="baseline"/>
                              <w:outlineLvl w:val="3"/>
                              <w:rPr>
                                <w:rFonts w:ascii="Arial" w:hAnsi="Arial" w:eastAsia="Times New Roman"/>
                                <w:sz w:val="24"/>
                                <w:szCs w:val="18"/>
                                <w:lang w:eastAsia="ko-KR"/>
                              </w:rPr>
                            </w:pPr>
                            <w:r>
                              <w:rPr>
                                <w:rFonts w:ascii="Arial" w:hAnsi="Arial" w:eastAsia="Times New Roman"/>
                                <w:sz w:val="24"/>
                                <w:szCs w:val="18"/>
                                <w:lang w:eastAsia="ko-KR"/>
                              </w:rPr>
                              <w:t>9.3.1.230</w:t>
                            </w:r>
                            <w:r>
                              <w:rPr>
                                <w:rFonts w:ascii="Arial" w:hAnsi="Arial" w:eastAsia="Times New Roman"/>
                                <w:sz w:val="24"/>
                                <w:szCs w:val="18"/>
                                <w:lang w:eastAsia="ko-KR"/>
                              </w:rPr>
                              <w:tab/>
                            </w:r>
                            <w:r>
                              <w:rPr>
                                <w:rFonts w:ascii="Arial" w:hAnsi="Arial" w:eastAsia="Times New Roman"/>
                                <w:sz w:val="24"/>
                                <w:szCs w:val="18"/>
                                <w:lang w:eastAsia="ko-KR"/>
                              </w:rPr>
                              <w:t>RB Set Configuration</w:t>
                            </w:r>
                          </w:p>
                          <w:p>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This IE contains the RB Set Configuration. The IE is only applicable </w:t>
                            </w:r>
                            <w:r>
                              <w:rPr>
                                <w:rFonts w:eastAsia="Times New Roman"/>
                                <w:lang w:val="en-US" w:eastAsia="ko-KR"/>
                              </w:rPr>
                              <w:t>if the gNB-DU is an IAB-</w:t>
                            </w:r>
                            <w:r>
                              <w:rPr>
                                <w:rFonts w:eastAsia="Times New Roman"/>
                                <w:lang w:eastAsia="ja-JP"/>
                              </w:rPr>
                              <w:t>DU.</w:t>
                            </w:r>
                          </w:p>
                          <w:p>
                            <w:pPr>
                              <w:rPr>
                                <w:rFonts w:ascii="Arial" w:hAnsi="Arial" w:cs="Arial"/>
                              </w:rPr>
                            </w:pPr>
                          </w:p>
                          <w:tbl>
                            <w:tblPr>
                              <w:tblStyle w:val="15"/>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440"/>
                              <w:gridCol w:w="1871"/>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450" w:type="dxa"/>
                                </w:tcPr>
                                <w:p>
                                  <w:pPr>
                                    <w:pStyle w:val="42"/>
                                    <w:rPr>
                                      <w:szCs w:val="18"/>
                                      <w:lang w:eastAsia="ja-JP"/>
                                    </w:rPr>
                                  </w:pPr>
                                  <w:r>
                                    <w:rPr>
                                      <w:szCs w:val="18"/>
                                      <w:lang w:eastAsia="ja-JP"/>
                                    </w:rPr>
                                    <w:t>IE/Group Name</w:t>
                                  </w:r>
                                </w:p>
                              </w:tc>
                              <w:tc>
                                <w:tcPr>
                                  <w:tcW w:w="1077" w:type="dxa"/>
                                </w:tcPr>
                                <w:p>
                                  <w:pPr>
                                    <w:pStyle w:val="42"/>
                                    <w:rPr>
                                      <w:szCs w:val="18"/>
                                      <w:lang w:eastAsia="ja-JP"/>
                                    </w:rPr>
                                  </w:pPr>
                                  <w:r>
                                    <w:rPr>
                                      <w:szCs w:val="18"/>
                                      <w:lang w:eastAsia="ja-JP"/>
                                    </w:rPr>
                                    <w:t>Presence</w:t>
                                  </w:r>
                                </w:p>
                              </w:tc>
                              <w:tc>
                                <w:tcPr>
                                  <w:tcW w:w="1440" w:type="dxa"/>
                                </w:tcPr>
                                <w:p>
                                  <w:pPr>
                                    <w:pStyle w:val="42"/>
                                    <w:rPr>
                                      <w:szCs w:val="18"/>
                                      <w:lang w:eastAsia="ja-JP"/>
                                    </w:rPr>
                                  </w:pPr>
                                  <w:r>
                                    <w:rPr>
                                      <w:szCs w:val="18"/>
                                      <w:lang w:eastAsia="ja-JP"/>
                                    </w:rPr>
                                    <w:t>Range</w:t>
                                  </w:r>
                                </w:p>
                              </w:tc>
                              <w:tc>
                                <w:tcPr>
                                  <w:tcW w:w="1871" w:type="dxa"/>
                                </w:tcPr>
                                <w:p>
                                  <w:pPr>
                                    <w:pStyle w:val="42"/>
                                    <w:rPr>
                                      <w:szCs w:val="18"/>
                                      <w:lang w:eastAsia="ja-JP"/>
                                    </w:rPr>
                                  </w:pPr>
                                  <w:r>
                                    <w:rPr>
                                      <w:szCs w:val="18"/>
                                      <w:lang w:eastAsia="ja-JP"/>
                                    </w:rPr>
                                    <w:t>IE type and reference</w:t>
                                  </w:r>
                                </w:p>
                              </w:tc>
                              <w:tc>
                                <w:tcPr>
                                  <w:tcW w:w="2880" w:type="dxa"/>
                                </w:tcPr>
                                <w:p>
                                  <w:pPr>
                                    <w:pStyle w:val="42"/>
                                    <w:rPr>
                                      <w:szCs w:val="18"/>
                                      <w:lang w:eastAsia="ja-JP"/>
                                    </w:rPr>
                                  </w:pPr>
                                  <w:r>
                                    <w:rPr>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2450" w:type="dxa"/>
                                </w:tcPr>
                                <w:p>
                                  <w:pPr>
                                    <w:pStyle w:val="39"/>
                                    <w:rPr>
                                      <w:rFonts w:cs="Arial"/>
                                      <w:szCs w:val="18"/>
                                      <w:lang w:eastAsia="ja-JP"/>
                                    </w:rPr>
                                  </w:pPr>
                                  <w:r>
                                    <w:rPr>
                                      <w:rFonts w:cs="Arial"/>
                                      <w:szCs w:val="18"/>
                                      <w:lang w:eastAsia="ja-JP"/>
                                    </w:rPr>
                                    <w:t>Subcarrier Spacing</w:t>
                                  </w:r>
                                </w:p>
                              </w:tc>
                              <w:tc>
                                <w:tcPr>
                                  <w:tcW w:w="1077" w:type="dxa"/>
                                </w:tcPr>
                                <w:p>
                                  <w:pPr>
                                    <w:pStyle w:val="39"/>
                                    <w:rPr>
                                      <w:szCs w:val="18"/>
                                      <w:lang w:eastAsia="ja-JP"/>
                                    </w:rPr>
                                  </w:pPr>
                                  <w:r>
                                    <w:rPr>
                                      <w:szCs w:val="18"/>
                                      <w:lang w:eastAsia="ja-JP"/>
                                    </w:rPr>
                                    <w:t>M</w:t>
                                  </w:r>
                                </w:p>
                              </w:tc>
                              <w:tc>
                                <w:tcPr>
                                  <w:tcW w:w="1440" w:type="dxa"/>
                                </w:tcPr>
                                <w:p>
                                  <w:pPr>
                                    <w:pStyle w:val="39"/>
                                    <w:rPr>
                                      <w:i/>
                                      <w:szCs w:val="18"/>
                                      <w:lang w:eastAsia="ja-JP"/>
                                    </w:rPr>
                                  </w:pPr>
                                </w:p>
                              </w:tc>
                              <w:tc>
                                <w:tcPr>
                                  <w:tcW w:w="1871" w:type="dxa"/>
                                </w:tcPr>
                                <w:p>
                                  <w:pPr>
                                    <w:pStyle w:val="39"/>
                                    <w:rPr>
                                      <w:szCs w:val="18"/>
                                      <w:lang w:eastAsia="ja-JP"/>
                                    </w:rPr>
                                  </w:pPr>
                                  <w:r>
                                    <w:rPr>
                                      <w:szCs w:val="18"/>
                                      <w:lang w:eastAsia="ja-JP"/>
                                    </w:rPr>
                                    <w:t>ENUMERATED (kHz15, kHz30, kHz60, kHz120, kHz240, spare3, spare2, spare1, …)</w:t>
                                  </w:r>
                                </w:p>
                              </w:tc>
                              <w:tc>
                                <w:tcPr>
                                  <w:tcW w:w="2880" w:type="dxa"/>
                                </w:tcPr>
                                <w:p>
                                  <w:pPr>
                                    <w:pStyle w:val="39"/>
                                    <w:rPr>
                                      <w:szCs w:val="18"/>
                                      <w:lang w:eastAsia="ja-JP"/>
                                    </w:rPr>
                                  </w:pPr>
                                  <w:r>
                                    <w:rPr>
                                      <w:szCs w:val="18"/>
                                      <w:lang w:eastAsia="ja-JP"/>
                                    </w:rPr>
                                    <w:t>Subcarrier spacing used as reference for the RB set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2450" w:type="dxa"/>
                                </w:tcPr>
                                <w:p>
                                  <w:pPr>
                                    <w:pStyle w:val="39"/>
                                    <w:rPr>
                                      <w:rFonts w:cs="Arial"/>
                                      <w:szCs w:val="18"/>
                                      <w:highlight w:val="yellow"/>
                                      <w:lang w:eastAsia="ja-JP"/>
                                    </w:rPr>
                                  </w:pPr>
                                  <w:r>
                                    <w:rPr>
                                      <w:rFonts w:cs="Arial"/>
                                      <w:szCs w:val="18"/>
                                      <w:highlight w:val="yellow"/>
                                      <w:lang w:eastAsia="ja-JP"/>
                                    </w:rPr>
                                    <w:t>RB Set Size</w:t>
                                  </w:r>
                                </w:p>
                              </w:tc>
                              <w:tc>
                                <w:tcPr>
                                  <w:tcW w:w="1077" w:type="dxa"/>
                                </w:tcPr>
                                <w:p>
                                  <w:pPr>
                                    <w:pStyle w:val="39"/>
                                    <w:rPr>
                                      <w:szCs w:val="18"/>
                                      <w:highlight w:val="yellow"/>
                                      <w:lang w:eastAsia="ja-JP"/>
                                    </w:rPr>
                                  </w:pPr>
                                  <w:r>
                                    <w:rPr>
                                      <w:szCs w:val="18"/>
                                      <w:highlight w:val="yellow"/>
                                      <w:lang w:eastAsia="ja-JP"/>
                                    </w:rPr>
                                    <w:t>M</w:t>
                                  </w:r>
                                </w:p>
                              </w:tc>
                              <w:tc>
                                <w:tcPr>
                                  <w:tcW w:w="1440" w:type="dxa"/>
                                </w:tcPr>
                                <w:p>
                                  <w:pPr>
                                    <w:pStyle w:val="39"/>
                                    <w:rPr>
                                      <w:i/>
                                      <w:szCs w:val="18"/>
                                      <w:highlight w:val="yellow"/>
                                      <w:lang w:eastAsia="ja-JP"/>
                                    </w:rPr>
                                  </w:pPr>
                                </w:p>
                              </w:tc>
                              <w:tc>
                                <w:tcPr>
                                  <w:tcW w:w="1871" w:type="dxa"/>
                                </w:tcPr>
                                <w:p>
                                  <w:pPr>
                                    <w:pStyle w:val="39"/>
                                    <w:rPr>
                                      <w:szCs w:val="18"/>
                                      <w:highlight w:val="yellow"/>
                                      <w:lang w:eastAsia="ja-JP"/>
                                    </w:rPr>
                                  </w:pPr>
                                  <w:r>
                                    <w:rPr>
                                      <w:szCs w:val="18"/>
                                      <w:highlight w:val="yellow"/>
                                      <w:lang w:eastAsia="ja-JP"/>
                                    </w:rPr>
                                    <w:t>ENUMERATED (rb2, rb4, rb8, rb16, rb32, rb64)</w:t>
                                  </w:r>
                                </w:p>
                              </w:tc>
                              <w:tc>
                                <w:tcPr>
                                  <w:tcW w:w="2880" w:type="dxa"/>
                                </w:tcPr>
                                <w:p>
                                  <w:pPr>
                                    <w:pStyle w:val="39"/>
                                    <w:rPr>
                                      <w:szCs w:val="18"/>
                                      <w:highlight w:val="yellow"/>
                                      <w:lang w:eastAsia="ja-JP"/>
                                    </w:rPr>
                                  </w:pPr>
                                  <w:r>
                                    <w:rPr>
                                      <w:szCs w:val="18"/>
                                      <w:highlight w:val="yellow"/>
                                      <w:lang w:eastAsia="ja-JP"/>
                                    </w:rPr>
                                    <w:t>Number of PRBs in each RB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9718" w:type="dxa"/>
                                  <w:gridSpan w:val="5"/>
                                  <w:tcBorders>
                                    <w:top w:val="single" w:color="auto" w:sz="4" w:space="0"/>
                                    <w:left w:val="single" w:color="auto" w:sz="4" w:space="0"/>
                                    <w:bottom w:val="single" w:color="auto" w:sz="4" w:space="0"/>
                                    <w:right w:val="single" w:color="auto" w:sz="4" w:space="0"/>
                                  </w:tcBorders>
                                </w:tcPr>
                                <w:p>
                                  <w:pPr>
                                    <w:pStyle w:val="39"/>
                                    <w:jc w:val="center"/>
                                    <w:rPr>
                                      <w:szCs w:val="18"/>
                                      <w:lang w:eastAsia="ja-JP"/>
                                    </w:rPr>
                                  </w:pPr>
                                  <w:r>
                                    <w:rPr>
                                      <w:rFonts w:cs="Arial"/>
                                      <w:b/>
                                      <w:bCs/>
                                      <w:color w:val="FF0000"/>
                                      <w:szCs w:val="18"/>
                                      <w:lang w:eastAsia="ja-JP"/>
                                    </w:rPr>
                                    <w:t>&gt;&gt;&gt;&gt;&gt;&gt;&gt;&gt;&gt;&gt;unrelated parts are skipped&lt;&lt;&lt;&lt;&lt;&lt;&lt;&lt;&lt;&lt;</w:t>
                                  </w:r>
                                </w:p>
                              </w:tc>
                            </w:tr>
                          </w:tbl>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8.75pt;margin-top:40.95pt;height:110.6pt;width:505.1pt;mso-position-horizontal-relative:margin;mso-wrap-distance-bottom:3.7pt;mso-wrap-distance-top:3.7pt;z-index:251659264;mso-width-relative:page;mso-height-relative:margin;mso-height-percent:200;" fillcolor="#FFFFFF" filled="t" stroked="t" coordsize="21600,21600" o:gfxdata="UEsDBAoAAAAAAIdO4kAAAAAAAAAAAAAAAAAEAAAAZHJzL1BLAwQUAAAACACHTuJAREPjPdgAAAAK&#10;AQAADwAAAGRycy9kb3ducmV2LnhtbE2Py07DMBBF90j8gzVIbKrWdqO0TcikEpW6YtVQ9m5skoh4&#10;HGz39feYFSxH9+jeM9X2Zkd2MT4MjhDkQgAz1Do9UIdwfN/PN8BCVKTV6Mgg3E2Abf34UKlSuysd&#10;zKWJHUslFEqF0Mc4lZyHtjdWhYWbDKXs03mrYjp9x7VX11RuR74UYsWtGigt9Goyu960X83ZIqy+&#10;m2z29qFndLjvX31rc7075ojPT1K8AIvmFv9g+NVP6lAnp5M7kw5sRJjLdZ5QhI0sgCWgKJZrYCeE&#10;TGQSeF3x/y/UP1BLAwQUAAAACACHTuJAYOA9Xz0CAAB+BAAADgAAAGRycy9lMm9Eb2MueG1srZTN&#10;jtMwEMfvSLyD5TtNU6XtbtR0tbQqQlo+pIUHcB2nsbA9xnablAeAN9gTF+48V5+DidMtVQFpD+Rg&#10;2Z7x3zO/GWd202pFdsJ5Caag6WBIiTAcSmk2Bf34YfXiihIfmCmZAiMKuhee3syfP5s1NhcjqEGV&#10;whEUMT5vbEHrEGyeJJ7XQjM/ACsMGitwmgVcuk1SOtagulbJaDicJA240jrgwnvcXfZGelR0TxGE&#10;qpJcLIFvtTChV3VCsYAp+VpaT+cx2qoSPLyrKi8CUQXFTEMc8RKcr7sxmc9YvnHM1pIfQ2BPCeEi&#10;J82kwUtPUksWGNk6+YeUltyBhyoMOOikTyQSwSzS4QWb+5pZEXNB1N6eoPv/J8vf7t47IsuCjtIp&#10;JYZpLPnh4dvh+8/Dj69k1AFqrM/R796iZ2hfQottE5P19g74J08MLGpmNuLWOWhqwUoMMO1OJmdH&#10;ex3fiaybN1DiPWwbIAq1ldMdPeRBUB2Lsz8VR7SBcNycZGk2naKJoy3NhtlkFMuXsPzxuHU+vBKg&#10;STcpqMPqR3m2u/OhC4fljy7dbR6ULFdSqbhwm/VCObJj2Cmr+MUMLtyUIU1Br8ejcU/gnxLD+P1N&#10;QsuAD0hJXdCrcydljsA6Rj2t0K7bYwHWUO4RnYO+hfEB46QG94WSBtu3oP7zljlBiXptEP91mmVd&#10;v8dFNp4iK+LOLetzCzMcpQoaKOmnixDfSARjb7FMKxkBdvXsIznGim0ZuR6fUNf35+vo9fu3Mf8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REPjPdgAAAAKAQAADwAAAAAAAAABACAAAAAiAAAAZHJz&#10;L2Rvd25yZXYueG1sUEsBAhQAFAAAAAgAh07iQGDgPV89AgAAfgQAAA4AAAAAAAAAAQAgAAAAJwEA&#10;AGRycy9lMm9Eb2MueG1sUEsFBgAAAAAGAAYAWQEAANYFAAAAAA==&#10;">
                <v:fill on="t" focussize="0,0"/>
                <v:stroke color="#000000" miterlimit="8" joinstyle="miter"/>
                <v:imagedata o:title=""/>
                <o:lock v:ext="edit" aspectratio="f"/>
                <v:textbox style="mso-fit-shape-to-text:t;">
                  <w:txbxContent>
                    <w:p>
                      <w:pPr>
                        <w:keepNext/>
                        <w:keepLines/>
                        <w:overflowPunct w:val="0"/>
                        <w:autoSpaceDE w:val="0"/>
                        <w:autoSpaceDN w:val="0"/>
                        <w:adjustRightInd w:val="0"/>
                        <w:spacing w:before="120" w:after="180"/>
                        <w:ind w:left="1418" w:hanging="1418"/>
                        <w:textAlignment w:val="baseline"/>
                        <w:outlineLvl w:val="3"/>
                        <w:rPr>
                          <w:rFonts w:ascii="Arial" w:hAnsi="Arial" w:eastAsia="Times New Roman"/>
                          <w:sz w:val="24"/>
                          <w:szCs w:val="18"/>
                          <w:lang w:eastAsia="ko-KR"/>
                        </w:rPr>
                      </w:pPr>
                      <w:r>
                        <w:rPr>
                          <w:rFonts w:ascii="Arial" w:hAnsi="Arial" w:eastAsia="Times New Roman"/>
                          <w:sz w:val="24"/>
                          <w:szCs w:val="18"/>
                          <w:lang w:eastAsia="ko-KR"/>
                        </w:rPr>
                        <w:t>9.3.1.230</w:t>
                      </w:r>
                      <w:r>
                        <w:rPr>
                          <w:rFonts w:ascii="Arial" w:hAnsi="Arial" w:eastAsia="Times New Roman"/>
                          <w:sz w:val="24"/>
                          <w:szCs w:val="18"/>
                          <w:lang w:eastAsia="ko-KR"/>
                        </w:rPr>
                        <w:tab/>
                      </w:r>
                      <w:r>
                        <w:rPr>
                          <w:rFonts w:ascii="Arial" w:hAnsi="Arial" w:eastAsia="Times New Roman"/>
                          <w:sz w:val="24"/>
                          <w:szCs w:val="18"/>
                          <w:lang w:eastAsia="ko-KR"/>
                        </w:rPr>
                        <w:t>RB Set Configuration</w:t>
                      </w:r>
                    </w:p>
                    <w:p>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This IE contains the RB Set Configuration. The IE is only applicable </w:t>
                      </w:r>
                      <w:r>
                        <w:rPr>
                          <w:rFonts w:eastAsia="Times New Roman"/>
                          <w:lang w:val="en-US" w:eastAsia="ko-KR"/>
                        </w:rPr>
                        <w:t>if the gNB-DU is an IAB-</w:t>
                      </w:r>
                      <w:r>
                        <w:rPr>
                          <w:rFonts w:eastAsia="Times New Roman"/>
                          <w:lang w:eastAsia="ja-JP"/>
                        </w:rPr>
                        <w:t>DU.</w:t>
                      </w:r>
                    </w:p>
                    <w:p>
                      <w:pPr>
                        <w:rPr>
                          <w:rFonts w:ascii="Arial" w:hAnsi="Arial" w:cs="Arial"/>
                        </w:rPr>
                      </w:pPr>
                    </w:p>
                    <w:tbl>
                      <w:tblPr>
                        <w:tblStyle w:val="15"/>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440"/>
                        <w:gridCol w:w="1871"/>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450" w:type="dxa"/>
                          </w:tcPr>
                          <w:p>
                            <w:pPr>
                              <w:pStyle w:val="42"/>
                              <w:rPr>
                                <w:szCs w:val="18"/>
                                <w:lang w:eastAsia="ja-JP"/>
                              </w:rPr>
                            </w:pPr>
                            <w:r>
                              <w:rPr>
                                <w:szCs w:val="18"/>
                                <w:lang w:eastAsia="ja-JP"/>
                              </w:rPr>
                              <w:t>IE/Group Name</w:t>
                            </w:r>
                          </w:p>
                        </w:tc>
                        <w:tc>
                          <w:tcPr>
                            <w:tcW w:w="1077" w:type="dxa"/>
                          </w:tcPr>
                          <w:p>
                            <w:pPr>
                              <w:pStyle w:val="42"/>
                              <w:rPr>
                                <w:szCs w:val="18"/>
                                <w:lang w:eastAsia="ja-JP"/>
                              </w:rPr>
                            </w:pPr>
                            <w:r>
                              <w:rPr>
                                <w:szCs w:val="18"/>
                                <w:lang w:eastAsia="ja-JP"/>
                              </w:rPr>
                              <w:t>Presence</w:t>
                            </w:r>
                          </w:p>
                        </w:tc>
                        <w:tc>
                          <w:tcPr>
                            <w:tcW w:w="1440" w:type="dxa"/>
                          </w:tcPr>
                          <w:p>
                            <w:pPr>
                              <w:pStyle w:val="42"/>
                              <w:rPr>
                                <w:szCs w:val="18"/>
                                <w:lang w:eastAsia="ja-JP"/>
                              </w:rPr>
                            </w:pPr>
                            <w:r>
                              <w:rPr>
                                <w:szCs w:val="18"/>
                                <w:lang w:eastAsia="ja-JP"/>
                              </w:rPr>
                              <w:t>Range</w:t>
                            </w:r>
                          </w:p>
                        </w:tc>
                        <w:tc>
                          <w:tcPr>
                            <w:tcW w:w="1871" w:type="dxa"/>
                          </w:tcPr>
                          <w:p>
                            <w:pPr>
                              <w:pStyle w:val="42"/>
                              <w:rPr>
                                <w:szCs w:val="18"/>
                                <w:lang w:eastAsia="ja-JP"/>
                              </w:rPr>
                            </w:pPr>
                            <w:r>
                              <w:rPr>
                                <w:szCs w:val="18"/>
                                <w:lang w:eastAsia="ja-JP"/>
                              </w:rPr>
                              <w:t>IE type and reference</w:t>
                            </w:r>
                          </w:p>
                        </w:tc>
                        <w:tc>
                          <w:tcPr>
                            <w:tcW w:w="2880" w:type="dxa"/>
                          </w:tcPr>
                          <w:p>
                            <w:pPr>
                              <w:pStyle w:val="42"/>
                              <w:rPr>
                                <w:szCs w:val="18"/>
                                <w:lang w:eastAsia="ja-JP"/>
                              </w:rPr>
                            </w:pPr>
                            <w:r>
                              <w:rPr>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2450" w:type="dxa"/>
                          </w:tcPr>
                          <w:p>
                            <w:pPr>
                              <w:pStyle w:val="39"/>
                              <w:rPr>
                                <w:rFonts w:cs="Arial"/>
                                <w:szCs w:val="18"/>
                                <w:lang w:eastAsia="ja-JP"/>
                              </w:rPr>
                            </w:pPr>
                            <w:r>
                              <w:rPr>
                                <w:rFonts w:cs="Arial"/>
                                <w:szCs w:val="18"/>
                                <w:lang w:eastAsia="ja-JP"/>
                              </w:rPr>
                              <w:t>Subcarrier Spacing</w:t>
                            </w:r>
                          </w:p>
                        </w:tc>
                        <w:tc>
                          <w:tcPr>
                            <w:tcW w:w="1077" w:type="dxa"/>
                          </w:tcPr>
                          <w:p>
                            <w:pPr>
                              <w:pStyle w:val="39"/>
                              <w:rPr>
                                <w:szCs w:val="18"/>
                                <w:lang w:eastAsia="ja-JP"/>
                              </w:rPr>
                            </w:pPr>
                            <w:r>
                              <w:rPr>
                                <w:szCs w:val="18"/>
                                <w:lang w:eastAsia="ja-JP"/>
                              </w:rPr>
                              <w:t>M</w:t>
                            </w:r>
                          </w:p>
                        </w:tc>
                        <w:tc>
                          <w:tcPr>
                            <w:tcW w:w="1440" w:type="dxa"/>
                          </w:tcPr>
                          <w:p>
                            <w:pPr>
                              <w:pStyle w:val="39"/>
                              <w:rPr>
                                <w:i/>
                                <w:szCs w:val="18"/>
                                <w:lang w:eastAsia="ja-JP"/>
                              </w:rPr>
                            </w:pPr>
                          </w:p>
                        </w:tc>
                        <w:tc>
                          <w:tcPr>
                            <w:tcW w:w="1871" w:type="dxa"/>
                          </w:tcPr>
                          <w:p>
                            <w:pPr>
                              <w:pStyle w:val="39"/>
                              <w:rPr>
                                <w:szCs w:val="18"/>
                                <w:lang w:eastAsia="ja-JP"/>
                              </w:rPr>
                            </w:pPr>
                            <w:r>
                              <w:rPr>
                                <w:szCs w:val="18"/>
                                <w:lang w:eastAsia="ja-JP"/>
                              </w:rPr>
                              <w:t>ENUMERATED (kHz15, kHz30, kHz60, kHz120, kHz240, spare3, spare2, spare1, …)</w:t>
                            </w:r>
                          </w:p>
                        </w:tc>
                        <w:tc>
                          <w:tcPr>
                            <w:tcW w:w="2880" w:type="dxa"/>
                          </w:tcPr>
                          <w:p>
                            <w:pPr>
                              <w:pStyle w:val="39"/>
                              <w:rPr>
                                <w:szCs w:val="18"/>
                                <w:lang w:eastAsia="ja-JP"/>
                              </w:rPr>
                            </w:pPr>
                            <w:r>
                              <w:rPr>
                                <w:szCs w:val="18"/>
                                <w:lang w:eastAsia="ja-JP"/>
                              </w:rPr>
                              <w:t>Subcarrier spacing used as reference for the RB set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2450" w:type="dxa"/>
                          </w:tcPr>
                          <w:p>
                            <w:pPr>
                              <w:pStyle w:val="39"/>
                              <w:rPr>
                                <w:rFonts w:cs="Arial"/>
                                <w:szCs w:val="18"/>
                                <w:highlight w:val="yellow"/>
                                <w:lang w:eastAsia="ja-JP"/>
                              </w:rPr>
                            </w:pPr>
                            <w:r>
                              <w:rPr>
                                <w:rFonts w:cs="Arial"/>
                                <w:szCs w:val="18"/>
                                <w:highlight w:val="yellow"/>
                                <w:lang w:eastAsia="ja-JP"/>
                              </w:rPr>
                              <w:t>RB Set Size</w:t>
                            </w:r>
                          </w:p>
                        </w:tc>
                        <w:tc>
                          <w:tcPr>
                            <w:tcW w:w="1077" w:type="dxa"/>
                          </w:tcPr>
                          <w:p>
                            <w:pPr>
                              <w:pStyle w:val="39"/>
                              <w:rPr>
                                <w:szCs w:val="18"/>
                                <w:highlight w:val="yellow"/>
                                <w:lang w:eastAsia="ja-JP"/>
                              </w:rPr>
                            </w:pPr>
                            <w:r>
                              <w:rPr>
                                <w:szCs w:val="18"/>
                                <w:highlight w:val="yellow"/>
                                <w:lang w:eastAsia="ja-JP"/>
                              </w:rPr>
                              <w:t>M</w:t>
                            </w:r>
                          </w:p>
                        </w:tc>
                        <w:tc>
                          <w:tcPr>
                            <w:tcW w:w="1440" w:type="dxa"/>
                          </w:tcPr>
                          <w:p>
                            <w:pPr>
                              <w:pStyle w:val="39"/>
                              <w:rPr>
                                <w:i/>
                                <w:szCs w:val="18"/>
                                <w:highlight w:val="yellow"/>
                                <w:lang w:eastAsia="ja-JP"/>
                              </w:rPr>
                            </w:pPr>
                          </w:p>
                        </w:tc>
                        <w:tc>
                          <w:tcPr>
                            <w:tcW w:w="1871" w:type="dxa"/>
                          </w:tcPr>
                          <w:p>
                            <w:pPr>
                              <w:pStyle w:val="39"/>
                              <w:rPr>
                                <w:szCs w:val="18"/>
                                <w:highlight w:val="yellow"/>
                                <w:lang w:eastAsia="ja-JP"/>
                              </w:rPr>
                            </w:pPr>
                            <w:r>
                              <w:rPr>
                                <w:szCs w:val="18"/>
                                <w:highlight w:val="yellow"/>
                                <w:lang w:eastAsia="ja-JP"/>
                              </w:rPr>
                              <w:t>ENUMERATED (rb2, rb4, rb8, rb16, rb32, rb64)</w:t>
                            </w:r>
                          </w:p>
                        </w:tc>
                        <w:tc>
                          <w:tcPr>
                            <w:tcW w:w="2880" w:type="dxa"/>
                          </w:tcPr>
                          <w:p>
                            <w:pPr>
                              <w:pStyle w:val="39"/>
                              <w:rPr>
                                <w:szCs w:val="18"/>
                                <w:highlight w:val="yellow"/>
                                <w:lang w:eastAsia="ja-JP"/>
                              </w:rPr>
                            </w:pPr>
                            <w:r>
                              <w:rPr>
                                <w:szCs w:val="18"/>
                                <w:highlight w:val="yellow"/>
                                <w:lang w:eastAsia="ja-JP"/>
                              </w:rPr>
                              <w:t>Number of PRBs in each RB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9718" w:type="dxa"/>
                            <w:gridSpan w:val="5"/>
                            <w:tcBorders>
                              <w:top w:val="single" w:color="auto" w:sz="4" w:space="0"/>
                              <w:left w:val="single" w:color="auto" w:sz="4" w:space="0"/>
                              <w:bottom w:val="single" w:color="auto" w:sz="4" w:space="0"/>
                              <w:right w:val="single" w:color="auto" w:sz="4" w:space="0"/>
                            </w:tcBorders>
                          </w:tcPr>
                          <w:p>
                            <w:pPr>
                              <w:pStyle w:val="39"/>
                              <w:jc w:val="center"/>
                              <w:rPr>
                                <w:szCs w:val="18"/>
                                <w:lang w:eastAsia="ja-JP"/>
                              </w:rPr>
                            </w:pPr>
                            <w:r>
                              <w:rPr>
                                <w:rFonts w:cs="Arial"/>
                                <w:b/>
                                <w:bCs/>
                                <w:color w:val="FF0000"/>
                                <w:szCs w:val="18"/>
                                <w:lang w:eastAsia="ja-JP"/>
                              </w:rPr>
                              <w:t>&gt;&gt;&gt;&gt;&gt;&gt;&gt;&gt;&gt;&gt;unrelated parts are skipped&lt;&lt;&lt;&lt;&lt;&lt;&lt;&lt;&lt;&lt;</w:t>
                            </w:r>
                          </w:p>
                        </w:tc>
                      </w:tr>
                    </w:tbl>
                    <w:p/>
                  </w:txbxContent>
                </v:textbox>
                <w10:wrap type="topAndBottom"/>
              </v:shape>
            </w:pict>
          </mc:Fallback>
        </mc:AlternateContent>
      </w:r>
      <w:r>
        <w:rPr>
          <w:rFonts w:hint="eastAsia"/>
          <w:sz w:val="20"/>
          <w:szCs w:val="20"/>
        </w:rPr>
        <w:t xml:space="preserve">An LS on </w:t>
      </w:r>
      <w:r>
        <w:rPr>
          <w:rFonts w:hint="eastAsia"/>
          <w:sz w:val="20"/>
          <w:szCs w:val="20"/>
          <w:lang w:val="en-US" w:eastAsia="zh-CN"/>
        </w:rPr>
        <w:t>RB set configuration for IAB</w:t>
      </w:r>
      <w:r>
        <w:rPr>
          <w:rFonts w:hint="eastAsia"/>
          <w:sz w:val="20"/>
          <w:szCs w:val="20"/>
        </w:rPr>
        <w:t xml:space="preserve"> was sent to RAN1 from RAN</w:t>
      </w:r>
      <w:r>
        <w:rPr>
          <w:rFonts w:hint="eastAsia"/>
          <w:sz w:val="20"/>
          <w:szCs w:val="20"/>
          <w:lang w:val="en-US" w:eastAsia="zh-CN"/>
        </w:rPr>
        <w:t>3 i</w:t>
      </w:r>
      <w:r>
        <w:rPr>
          <w:rFonts w:hint="eastAsia"/>
          <w:sz w:val="20"/>
          <w:szCs w:val="20"/>
        </w:rPr>
        <w:t>n R1-220</w:t>
      </w:r>
      <w:r>
        <w:rPr>
          <w:rFonts w:hint="eastAsia"/>
          <w:sz w:val="20"/>
          <w:szCs w:val="20"/>
          <w:lang w:val="en-US" w:eastAsia="zh-CN"/>
        </w:rPr>
        <w:t>5705</w:t>
      </w:r>
      <w:r>
        <w:rPr>
          <w:rFonts w:hint="eastAsia"/>
          <w:sz w:val="20"/>
          <w:szCs w:val="20"/>
        </w:rPr>
        <w:t>(R</w:t>
      </w:r>
      <w:r>
        <w:rPr>
          <w:rFonts w:hint="eastAsia"/>
          <w:sz w:val="20"/>
          <w:szCs w:val="20"/>
          <w:lang w:val="en-US" w:eastAsia="zh-CN"/>
        </w:rPr>
        <w:t>3</w:t>
      </w:r>
      <w:r>
        <w:rPr>
          <w:rFonts w:hint="eastAsia"/>
          <w:sz w:val="20"/>
          <w:szCs w:val="20"/>
        </w:rPr>
        <w:t>-22</w:t>
      </w:r>
      <w:r>
        <w:rPr>
          <w:rFonts w:hint="eastAsia"/>
          <w:sz w:val="20"/>
          <w:szCs w:val="20"/>
          <w:lang w:val="en-US" w:eastAsia="zh-CN"/>
        </w:rPr>
        <w:t>4031</w:t>
      </w:r>
      <w:r>
        <w:rPr>
          <w:rFonts w:hint="eastAsia"/>
          <w:sz w:val="20"/>
          <w:szCs w:val="20"/>
        </w:rPr>
        <w:t>)</w:t>
      </w:r>
      <w:r>
        <w:rPr>
          <w:rFonts w:hint="eastAsia"/>
          <w:sz w:val="20"/>
          <w:szCs w:val="20"/>
          <w:lang w:val="en-US" w:eastAsia="zh-CN"/>
        </w:rPr>
        <w:t>[1]</w:t>
      </w:r>
      <w:r>
        <w:rPr>
          <w:rFonts w:hint="eastAsia"/>
          <w:sz w:val="20"/>
          <w:szCs w:val="20"/>
        </w:rPr>
        <w:t xml:space="preserve">, </w:t>
      </w:r>
      <w:r>
        <w:rPr>
          <w:rFonts w:hint="eastAsia"/>
          <w:sz w:val="20"/>
          <w:szCs w:val="20"/>
          <w:lang w:val="en-US" w:eastAsia="zh-CN"/>
        </w:rPr>
        <w:t>according to the LS, RAN3 has captured the RB set configuration in higher layer specifications as below:</w:t>
      </w:r>
    </w:p>
    <w:p>
      <w:pPr>
        <w:snapToGrid w:val="0"/>
        <w:spacing w:before="120" w:beforeLines="50" w:after="120" w:afterLines="50" w:line="240" w:lineRule="auto"/>
        <w:jc w:val="both"/>
        <w:rPr>
          <w:sz w:val="20"/>
          <w:vertAlign w:val="baseline"/>
        </w:rPr>
      </w:pPr>
      <w:r>
        <w:rPr>
          <w:rFonts w:hint="eastAsia"/>
          <w:sz w:val="20"/>
          <w:szCs w:val="20"/>
          <w:lang w:val="en-US" w:eastAsia="zh-CN"/>
        </w:rPr>
        <w:t>T</w:t>
      </w:r>
      <w:r>
        <w:rPr>
          <w:rFonts w:hint="eastAsia" w:eastAsia="宋体"/>
          <w:sz w:val="20"/>
          <w:szCs w:val="20"/>
          <w:lang w:val="en-US" w:eastAsia="zh-CN"/>
        </w:rPr>
        <w:t xml:space="preserve">here </w:t>
      </w:r>
      <w:r>
        <w:rPr>
          <w:rFonts w:hint="eastAsia"/>
          <w:sz w:val="20"/>
          <w:szCs w:val="20"/>
          <w:lang w:val="en-US" w:eastAsia="zh-CN"/>
        </w:rPr>
        <w:t>are</w:t>
      </w:r>
      <w:r>
        <w:rPr>
          <w:rFonts w:hint="eastAsia" w:eastAsia="宋体"/>
          <w:sz w:val="20"/>
          <w:szCs w:val="20"/>
          <w:lang w:val="en-US" w:eastAsia="zh-CN"/>
        </w:rPr>
        <w:t xml:space="preserve"> question</w:t>
      </w:r>
      <w:r>
        <w:rPr>
          <w:rFonts w:hint="eastAsia"/>
          <w:sz w:val="20"/>
          <w:szCs w:val="20"/>
          <w:lang w:val="en-US" w:eastAsia="zh-CN"/>
        </w:rPr>
        <w:t>s</w:t>
      </w:r>
      <w:r>
        <w:rPr>
          <w:rFonts w:hint="eastAsia" w:eastAsia="宋体"/>
          <w:sz w:val="20"/>
          <w:szCs w:val="20"/>
          <w:lang w:val="en-US" w:eastAsia="zh-CN"/>
        </w:rPr>
        <w:t xml:space="preserve"> raised by RAN</w:t>
      </w:r>
      <w:r>
        <w:rPr>
          <w:rFonts w:hint="eastAsia"/>
          <w:sz w:val="20"/>
          <w:szCs w:val="20"/>
          <w:lang w:val="en-US" w:eastAsia="zh-CN"/>
        </w:rPr>
        <w:t>3</w:t>
      </w:r>
      <w:r>
        <w:rPr>
          <w:rFonts w:hint="eastAsia" w:eastAsia="宋体"/>
          <w:sz w:val="20"/>
          <w:szCs w:val="20"/>
          <w:lang w:val="en-US" w:eastAsia="zh-CN"/>
        </w:rPr>
        <w:t xml:space="preserve"> for clarification </w:t>
      </w:r>
      <w:r>
        <w:rPr>
          <w:rFonts w:hint="eastAsia"/>
          <w:sz w:val="20"/>
          <w:szCs w:val="20"/>
          <w:lang w:val="en-US" w:eastAsia="zh-CN"/>
        </w:rPr>
        <w:t xml:space="preserve">as </w:t>
      </w:r>
      <w:r>
        <w:rPr>
          <w:rFonts w:hint="eastAsia" w:eastAsia="宋体"/>
          <w:sz w:val="20"/>
          <w:szCs w:val="20"/>
          <w:lang w:val="en-US" w:eastAsia="zh-CN"/>
        </w:rPr>
        <w:t>shown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after="120"/>
              <w:ind w:left="1985" w:hanging="1985"/>
              <w:rPr>
                <w:rFonts w:ascii="Arial" w:hAnsi="Arial" w:cs="Arial"/>
                <w:b/>
              </w:rPr>
            </w:pPr>
            <w:r>
              <w:rPr>
                <w:rFonts w:ascii="Arial" w:hAnsi="Arial" w:cs="Arial"/>
                <w:b/>
              </w:rPr>
              <w:t>To RAN1 group:</w:t>
            </w:r>
          </w:p>
          <w:p>
            <w:pPr>
              <w:widowControl w:val="0"/>
              <w:ind w:left="851" w:hanging="851"/>
              <w:rPr>
                <w:rFonts w:ascii="Arial" w:hAnsi="Arial" w:cs="Arial"/>
                <w:b/>
              </w:rPr>
            </w:pPr>
            <w:r>
              <w:rPr>
                <w:rFonts w:ascii="Arial" w:hAnsi="Arial" w:cs="Arial"/>
                <w:b/>
              </w:rPr>
              <w:t xml:space="preserve">ACTION: </w:t>
            </w:r>
          </w:p>
          <w:p>
            <w:pPr>
              <w:widowControl w:val="0"/>
              <w:ind w:left="1061" w:leftChars="100" w:hanging="851"/>
              <w:rPr>
                <w:rFonts w:hint="default" w:ascii="Times New Roman" w:hAnsi="Times New Roman" w:cs="Times New Roman"/>
                <w:sz w:val="20"/>
                <w:szCs w:val="20"/>
              </w:rPr>
            </w:pPr>
            <w:r>
              <w:rPr>
                <w:rFonts w:hint="default" w:ascii="Times New Roman" w:hAnsi="Times New Roman" w:cs="Times New Roman"/>
                <w:bCs/>
                <w:sz w:val="20"/>
                <w:szCs w:val="20"/>
              </w:rPr>
              <w:t>RAN</w:t>
            </w:r>
            <w:r>
              <w:rPr>
                <w:rFonts w:hint="default" w:ascii="Times New Roman" w:hAnsi="Times New Roman" w:eastAsia="Times New Roman" w:cs="Times New Roman"/>
                <w:bCs/>
                <w:sz w:val="20"/>
                <w:szCs w:val="20"/>
                <w:lang w:eastAsia="zh-CN"/>
              </w:rPr>
              <w:t>3</w:t>
            </w:r>
            <w:r>
              <w:rPr>
                <w:rFonts w:hint="default" w:ascii="Times New Roman" w:hAnsi="Times New Roman" w:cs="Times New Roman"/>
                <w:bCs/>
                <w:sz w:val="20"/>
                <w:szCs w:val="20"/>
              </w:rPr>
              <w:t xml:space="preserve"> respectfully asks </w:t>
            </w:r>
            <w:r>
              <w:rPr>
                <w:rFonts w:hint="default" w:ascii="Times New Roman" w:hAnsi="Times New Roman" w:cs="Times New Roman"/>
                <w:bCs/>
                <w:sz w:val="20"/>
                <w:szCs w:val="20"/>
                <w:lang w:eastAsia="zh-CN"/>
              </w:rPr>
              <w:t>RAN</w:t>
            </w:r>
            <w:r>
              <w:rPr>
                <w:rFonts w:hint="default" w:ascii="Times New Roman" w:hAnsi="Times New Roman" w:eastAsia="Times New Roman" w:cs="Times New Roman"/>
                <w:bCs/>
                <w:sz w:val="20"/>
                <w:szCs w:val="20"/>
                <w:lang w:eastAsia="zh-CN"/>
              </w:rPr>
              <w:t xml:space="preserve">1 </w:t>
            </w:r>
            <w:r>
              <w:rPr>
                <w:rFonts w:hint="default" w:ascii="Times New Roman" w:hAnsi="Times New Roman" w:cs="Times New Roman"/>
                <w:bCs/>
                <w:sz w:val="20"/>
                <w:szCs w:val="20"/>
              </w:rPr>
              <w:t xml:space="preserve">to </w:t>
            </w:r>
            <w:r>
              <w:rPr>
                <w:rFonts w:hint="default" w:ascii="Times New Roman" w:hAnsi="Times New Roman" w:cs="Times New Roman"/>
                <w:sz w:val="20"/>
                <w:szCs w:val="20"/>
              </w:rPr>
              <w:t xml:space="preserve">clarify: </w:t>
            </w:r>
          </w:p>
          <w:p>
            <w:pPr>
              <w:pStyle w:val="28"/>
              <w:widowControl w:val="0"/>
              <w:numPr>
                <w:ilvl w:val="0"/>
                <w:numId w:val="8"/>
              </w:numPr>
              <w:ind w:left="630" w:leftChars="300" w:firstLineChars="0"/>
              <w:rPr>
                <w:rFonts w:hint="default" w:ascii="Times New Roman" w:hAnsi="Times New Roman" w:cs="Times New Roman"/>
                <w:sz w:val="20"/>
                <w:szCs w:val="20"/>
              </w:rPr>
            </w:pPr>
            <w:r>
              <w:rPr>
                <w:rFonts w:hint="default" w:ascii="Times New Roman" w:hAnsi="Times New Roman" w:cs="Times New Roman"/>
                <w:sz w:val="20"/>
                <w:szCs w:val="20"/>
              </w:rPr>
              <w:t>Whether the RB set needs to be configurable to the IAB-donor-DU</w:t>
            </w:r>
            <w:r>
              <w:rPr>
                <w:rFonts w:hint="default" w:ascii="Times New Roman" w:hAnsi="Times New Roman" w:cs="Times New Roman"/>
                <w:bCs/>
                <w:sz w:val="20"/>
                <w:szCs w:val="20"/>
                <w:lang w:eastAsia="zh-CN"/>
              </w:rPr>
              <w:t>.</w:t>
            </w:r>
          </w:p>
          <w:p>
            <w:pPr>
              <w:pStyle w:val="28"/>
              <w:widowControl w:val="0"/>
              <w:numPr>
                <w:ilvl w:val="0"/>
                <w:numId w:val="8"/>
              </w:numPr>
              <w:ind w:left="630" w:leftChars="300" w:firstLineChars="0"/>
              <w:rPr>
                <w:sz w:val="20"/>
                <w:vertAlign w:val="baseline"/>
              </w:rPr>
            </w:pPr>
            <w:r>
              <w:rPr>
                <w:rFonts w:hint="default" w:ascii="Times New Roman" w:hAnsi="Times New Roman" w:cs="Times New Roman"/>
                <w:sz w:val="20"/>
                <w:szCs w:val="20"/>
              </w:rPr>
              <w:t>Whether the current F1AP signalling about RB set size is clear enough. If not, which kind of clarification should be added?</w:t>
            </w:r>
          </w:p>
        </w:tc>
      </w:tr>
    </w:tbl>
    <w:p>
      <w:pPr>
        <w:snapToGrid w:val="0"/>
        <w:spacing w:before="120" w:beforeLines="50" w:after="120" w:afterLines="50" w:line="240" w:lineRule="auto"/>
        <w:jc w:val="both"/>
        <w:rPr>
          <w:rFonts w:hint="eastAsia"/>
          <w:sz w:val="20"/>
          <w:szCs w:val="20"/>
          <w:lang w:val="en-US" w:eastAsia="zh-CN"/>
        </w:rPr>
      </w:pPr>
      <w:r>
        <w:rPr>
          <w:rFonts w:hint="eastAsia"/>
          <w:sz w:val="20"/>
          <w:szCs w:val="20"/>
          <w:lang w:val="en-US" w:eastAsia="zh-CN"/>
        </w:rPr>
        <w:t>This contribution shares our views and suggestions on the reply LS.</w:t>
      </w:r>
    </w:p>
    <w:p>
      <w:pPr>
        <w:pStyle w:val="2"/>
        <w:spacing w:before="120" w:after="120"/>
        <w:ind w:left="0"/>
        <w:rPr>
          <w:rFonts w:eastAsia="宋体"/>
        </w:rPr>
      </w:pPr>
      <w:r>
        <w:rPr>
          <w:rFonts w:hint="eastAsia" w:eastAsia="宋体"/>
        </w:rPr>
        <w:t>Discussion</w:t>
      </w:r>
      <w:r>
        <w:rPr>
          <w:rFonts w:eastAsia="宋体"/>
        </w:rPr>
        <w:t>s</w:t>
      </w:r>
    </w:p>
    <w:p>
      <w:pPr>
        <w:spacing w:before="120" w:after="120"/>
        <w:rPr>
          <w:rFonts w:hint="default"/>
          <w:sz w:val="20"/>
          <w:lang w:val="en-US" w:eastAsia="zh-CN"/>
        </w:rPr>
      </w:pPr>
      <w:r>
        <w:rPr>
          <w:rFonts w:hint="eastAsia"/>
          <w:sz w:val="20"/>
          <w:lang w:val="en-US" w:eastAsia="zh-CN"/>
        </w:rPr>
        <w:t>For the first question, according to previous discussions in RAN1, RB set is defined for resource multiplexing between child and parent links of an IAB node, e.g., to achieve simultaneous operation of an IAB DU and its co-located IAB MT, from this perspective of view, the motivation to apply RB set configuration to IAB donor-DU is not that clear since the IAB donor-DU doesn</w:t>
      </w:r>
      <w:r>
        <w:rPr>
          <w:rFonts w:hint="default"/>
          <w:sz w:val="20"/>
          <w:lang w:val="en-US" w:eastAsia="zh-CN"/>
        </w:rPr>
        <w:t>’</w:t>
      </w:r>
      <w:r>
        <w:rPr>
          <w:rFonts w:hint="eastAsia"/>
          <w:sz w:val="20"/>
          <w:lang w:val="en-US" w:eastAsia="zh-CN"/>
        </w:rPr>
        <w:t xml:space="preserve">t have its co-located IAB MT, but RAN1 should be also OK to extend such configuration to IAB donor-DU if RAN3 has identify the use case for such configuration for IAB donor-DU, e.g., </w:t>
      </w:r>
      <w:r>
        <w:rPr>
          <w:rFonts w:ascii="Times New Roman" w:hAnsi="Times New Roman" w:eastAsia="宋体" w:cs="Times New Roman"/>
        </w:rPr>
        <w:t xml:space="preserve">donor DU could be configured with </w:t>
      </w:r>
      <w:r>
        <w:rPr>
          <w:rFonts w:hint="eastAsia" w:cs="Times New Roman"/>
          <w:lang w:val="en-US" w:eastAsia="zh-CN"/>
        </w:rPr>
        <w:t>RB set</w:t>
      </w:r>
      <w:r>
        <w:rPr>
          <w:rFonts w:ascii="Times New Roman" w:hAnsi="Times New Roman" w:eastAsia="宋体" w:cs="Times New Roman"/>
        </w:rPr>
        <w:t xml:space="preserve"> configuration so that resource multiplexing could be achieved at child node.</w:t>
      </w:r>
    </w:p>
    <w:p>
      <w:pPr>
        <w:pStyle w:val="22"/>
        <w:spacing w:before="120" w:after="120"/>
        <w:rPr>
          <w:lang w:val="en-US"/>
        </w:rPr>
      </w:pPr>
      <w:r>
        <w:rPr>
          <w:rFonts w:hint="eastAsia"/>
          <w:lang w:val="en-US" w:eastAsia="zh-CN"/>
        </w:rPr>
        <w:t>T</w:t>
      </w:r>
      <w:r>
        <w:rPr>
          <w:rFonts w:hint="eastAsia"/>
          <w:b/>
          <w:bCs/>
          <w:i/>
          <w:lang w:val="en-US" w:eastAsia="zh-CN"/>
        </w:rPr>
        <w:t xml:space="preserve">o clarify to RAN3 that the intention of RB set configuration in RAN1 is </w:t>
      </w:r>
      <w:r>
        <w:rPr>
          <w:rFonts w:hint="eastAsia"/>
          <w:sz w:val="20"/>
          <w:lang w:val="en-US" w:eastAsia="zh-CN"/>
        </w:rPr>
        <w:t>to achieve simultaneous operation of an IAB DU and its co-located IAB MT, and RB set configuration can be applied to IAB donor-DU if new use cases are identified by RAN3.</w:t>
      </w:r>
    </w:p>
    <w:p>
      <w:pPr>
        <w:spacing w:before="120" w:after="120"/>
        <w:rPr>
          <w:rFonts w:hint="eastAsia"/>
          <w:sz w:val="20"/>
          <w:lang w:val="en-US" w:eastAsia="zh-CN"/>
        </w:rPr>
      </w:pPr>
    </w:p>
    <w:p>
      <w:pPr>
        <w:spacing w:before="120" w:after="120"/>
        <w:rPr>
          <w:rFonts w:hint="default" w:eastAsia="宋体"/>
          <w:sz w:val="20"/>
          <w:lang w:val="en-US" w:eastAsia="zh-CN"/>
        </w:rPr>
      </w:pPr>
      <w:r>
        <w:rPr>
          <w:rFonts w:hint="eastAsia"/>
          <w:sz w:val="20"/>
          <w:lang w:val="en-US" w:eastAsia="zh-CN"/>
        </w:rPr>
        <w:t xml:space="preserve">Companies in RAN1 also have different understanding on the following agreement </w:t>
      </w:r>
      <w:r>
        <w:rPr>
          <w:rFonts w:hint="eastAsia"/>
          <w:sz w:val="20"/>
        </w:rPr>
        <w:t>achieved</w:t>
      </w:r>
      <w:r>
        <w:rPr>
          <w:rFonts w:hint="eastAsia"/>
          <w:sz w:val="20"/>
          <w:lang w:val="en-US" w:eastAsia="zh-CN"/>
        </w:rPr>
        <w:t xml:space="preserve"> at </w:t>
      </w:r>
      <w:r>
        <w:rPr>
          <w:rFonts w:hint="eastAsia"/>
          <w:sz w:val="20"/>
        </w:rPr>
        <w:t>RAN1#10</w:t>
      </w:r>
      <w:r>
        <w:rPr>
          <w:rFonts w:hint="eastAsia"/>
          <w:sz w:val="20"/>
          <w:lang w:val="en-US" w:eastAsia="zh-CN"/>
        </w:rPr>
        <w:t>5</w:t>
      </w:r>
      <w:r>
        <w:rPr>
          <w:rFonts w:hint="eastAsia"/>
          <w:sz w:val="20"/>
        </w:rPr>
        <w:t>-e</w:t>
      </w:r>
      <w:r>
        <w:rPr>
          <w:rFonts w:hint="eastAsia"/>
          <w:sz w:val="20"/>
          <w:lang w:val="en-US" w:eastAsia="zh-CN"/>
        </w:rPr>
        <w:t xml:space="preserve"> and following discussion is made at RAN1-106e, and some companies want to bound the RB set size with the MT</w:t>
      </w:r>
      <w:r>
        <w:rPr>
          <w:rFonts w:hint="default"/>
          <w:sz w:val="20"/>
          <w:lang w:val="en-US" w:eastAsia="zh-CN"/>
        </w:rPr>
        <w:t>’</w:t>
      </w:r>
      <w:r>
        <w:rPr>
          <w:rFonts w:hint="eastAsia"/>
          <w:sz w:val="20"/>
          <w:lang w:val="en-US" w:eastAsia="zh-CN"/>
        </w:rPr>
        <w:t>s # PRBs of an RBG, e,g,, adding the clarification that N is multiple of the MT</w:t>
      </w:r>
      <w:r>
        <w:rPr>
          <w:rFonts w:hint="default"/>
          <w:sz w:val="20"/>
          <w:lang w:val="en-US" w:eastAsia="zh-CN"/>
        </w:rPr>
        <w:t>’</w:t>
      </w:r>
      <w:r>
        <w:rPr>
          <w:rFonts w:hint="eastAsia"/>
          <w:sz w:val="20"/>
          <w:lang w:val="en-US" w:eastAsia="zh-CN"/>
        </w:rPr>
        <w:t>s # PRBs of an RBG or N is larger than the MT</w:t>
      </w:r>
      <w:r>
        <w:rPr>
          <w:rFonts w:hint="default"/>
          <w:sz w:val="20"/>
          <w:lang w:val="en-US" w:eastAsia="zh-CN"/>
        </w:rPr>
        <w:t>’</w:t>
      </w:r>
      <w:r>
        <w:rPr>
          <w:rFonts w:hint="eastAsia"/>
          <w:sz w:val="20"/>
          <w:lang w:val="en-US" w:eastAsia="zh-CN"/>
        </w:rPr>
        <w:t>s # PRBs of an RBG, but it is failed. On the other hand, a lot of companies in RAN1 think the highlight part is just some implementation recommendation for configuration of N, and no need to add it in the specification. Meanwhile, the sentence itself is not clear enough to be captured in the specification, since RB set configuration is applied on a DU cell, but the RBG is defined on a MT serving cell for each BWP, there is no such binding ship b/w a DU cell and a MT serving cell, and it is also not necessary to have such binding ship.</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jc w:val="both"/>
              <w:rPr>
                <w:rFonts w:eastAsia="宋体" w:cs="Times"/>
              </w:rPr>
            </w:pPr>
            <w:r>
              <w:rPr>
                <w:rFonts w:cs="Times"/>
                <w:b/>
                <w:bCs/>
                <w:color w:val="000000"/>
                <w:highlight w:val="green"/>
                <w:shd w:val="clear" w:color="auto" w:fill="FFFF00"/>
              </w:rPr>
              <w:t>Agreement</w:t>
            </w:r>
          </w:p>
          <w:p>
            <w:pPr>
              <w:widowControl w:val="0"/>
              <w:rPr>
                <w:rFonts w:eastAsia="宋体" w:cs="Times"/>
              </w:rPr>
            </w:pPr>
            <w:r>
              <w:rPr>
                <w:rFonts w:cs="Times"/>
                <w:bCs/>
              </w:rPr>
              <w:t>The minimum resource size for configuring the frequency domain granularity is a set of N RBs:</w:t>
            </w:r>
          </w:p>
          <w:p>
            <w:pPr>
              <w:pStyle w:val="28"/>
              <w:widowControl w:val="0"/>
              <w:numPr>
                <w:ilvl w:val="0"/>
                <w:numId w:val="9"/>
              </w:numPr>
              <w:rPr>
                <w:rFonts w:eastAsia="Gulim"/>
                <w:sz w:val="20"/>
                <w:szCs w:val="20"/>
                <w:lang w:val="en-US"/>
              </w:rPr>
            </w:pPr>
            <w:r>
              <w:rPr>
                <w:rFonts w:eastAsia="Gulim"/>
                <w:sz w:val="20"/>
                <w:szCs w:val="20"/>
                <w:lang w:val="en-US"/>
              </w:rPr>
              <w:t>Candidate values for N: {4, 8, 16, other values TBD}</w:t>
            </w:r>
          </w:p>
          <w:p>
            <w:pPr>
              <w:pStyle w:val="28"/>
              <w:widowControl w:val="0"/>
              <w:numPr>
                <w:ilvl w:val="0"/>
                <w:numId w:val="9"/>
              </w:numPr>
              <w:rPr>
                <w:rFonts w:eastAsia="Gulim"/>
                <w:sz w:val="20"/>
                <w:szCs w:val="20"/>
                <w:highlight w:val="yellow"/>
                <w:lang w:val="en-US"/>
              </w:rPr>
            </w:pPr>
            <w:r>
              <w:rPr>
                <w:rFonts w:eastAsia="Gulim"/>
                <w:sz w:val="20"/>
                <w:szCs w:val="20"/>
                <w:highlight w:val="yellow"/>
                <w:lang w:val="en-US"/>
              </w:rPr>
              <w:t>N is at least the # PRBs that are corresponding to the MT’s # PRBs of an RBG.</w:t>
            </w:r>
          </w:p>
          <w:p>
            <w:pPr>
              <w:pStyle w:val="28"/>
              <w:widowControl w:val="0"/>
              <w:numPr>
                <w:ilvl w:val="0"/>
                <w:numId w:val="9"/>
              </w:numPr>
              <w:rPr>
                <w:rFonts w:hint="eastAsia"/>
                <w:sz w:val="20"/>
                <w:vertAlign w:val="baseline"/>
              </w:rPr>
            </w:pPr>
            <w:r>
              <w:rPr>
                <w:rFonts w:eastAsia="Gulim"/>
                <w:sz w:val="20"/>
                <w:szCs w:val="20"/>
                <w:lang w:val="en-US"/>
              </w:rPr>
              <w:t>FFS: Scaling or configuration of N based on system BW or size of IAB-MT BWP</w:t>
            </w:r>
          </w:p>
        </w:tc>
      </w:tr>
    </w:tbl>
    <w:p>
      <w:pPr>
        <w:spacing w:before="120" w:after="120"/>
        <w:rPr>
          <w:rFonts w:hint="eastAsia"/>
          <w:sz w:val="20"/>
        </w:rPr>
      </w:pPr>
    </w:p>
    <w:p>
      <w:pPr>
        <w:spacing w:before="120" w:after="120"/>
        <w:rPr>
          <w:sz w:val="20"/>
        </w:rPr>
      </w:pPr>
      <w:r>
        <w:rPr>
          <w:rFonts w:hint="eastAsia"/>
          <w:sz w:val="20"/>
        </w:rPr>
        <w:t>Based on above discussion, the following proposal is given:</w:t>
      </w:r>
    </w:p>
    <w:p>
      <w:pPr>
        <w:pStyle w:val="22"/>
        <w:spacing w:before="120" w:after="120"/>
        <w:rPr>
          <w:lang w:val="en-US"/>
        </w:rPr>
      </w:pPr>
      <w:r>
        <w:rPr>
          <w:rFonts w:hint="eastAsia"/>
          <w:lang w:val="en-US" w:eastAsia="zh-CN"/>
        </w:rPr>
        <w:t xml:space="preserve">Confirm with </w:t>
      </w:r>
      <w:r>
        <w:rPr>
          <w:rFonts w:hint="eastAsia"/>
          <w:b/>
          <w:bCs/>
          <w:i/>
          <w:lang w:val="en-US" w:eastAsia="zh-CN"/>
        </w:rPr>
        <w:t xml:space="preserve">RAN3 that </w:t>
      </w:r>
      <w:r>
        <w:rPr>
          <w:rFonts w:hint="default" w:ascii="Times New Roman" w:hAnsi="Times New Roman" w:cs="Times New Roman"/>
          <w:sz w:val="20"/>
          <w:szCs w:val="20"/>
        </w:rPr>
        <w:t>the current F1AP signalling about RB set size is clear enough</w:t>
      </w:r>
      <w:r>
        <w:rPr>
          <w:rFonts w:hint="eastAsia"/>
          <w:b/>
          <w:bCs/>
          <w:i/>
          <w:lang w:val="en-US" w:eastAsia="zh-CN"/>
        </w:rPr>
        <w:t>.</w:t>
      </w:r>
    </w:p>
    <w:p>
      <w:pPr>
        <w:spacing w:before="120" w:after="120"/>
        <w:rPr>
          <w:rFonts w:hint="default"/>
          <w:i/>
          <w:iCs/>
          <w:sz w:val="20"/>
          <w:lang w:val="en-US" w:eastAsia="zh-CN"/>
        </w:rPr>
      </w:pPr>
    </w:p>
    <w:p>
      <w:pPr>
        <w:wordWrap w:val="0"/>
        <w:autoSpaceDE w:val="0"/>
        <w:adjustRightInd w:val="0"/>
        <w:snapToGrid w:val="0"/>
        <w:spacing w:beforeLines="0" w:afterLines="0"/>
        <w:jc w:val="left"/>
      </w:pPr>
    </w:p>
    <w:p>
      <w:pPr>
        <w:pStyle w:val="2"/>
        <w:spacing w:before="120" w:after="120"/>
        <w:ind w:left="0"/>
        <w:rPr>
          <w:rFonts w:eastAsia="宋体"/>
        </w:rPr>
      </w:pPr>
      <w:r>
        <w:rPr>
          <w:rFonts w:hint="eastAsia" w:eastAsia="宋体"/>
        </w:rPr>
        <w:t>Conclusion</w:t>
      </w:r>
    </w:p>
    <w:p>
      <w:pPr>
        <w:spacing w:before="120" w:after="120"/>
        <w:rPr>
          <w:sz w:val="20"/>
        </w:rPr>
      </w:pPr>
      <w:r>
        <w:rPr>
          <w:rFonts w:hint="eastAsia"/>
          <w:sz w:val="20"/>
        </w:rPr>
        <w:t>Based on above discussion and analysis, the following proposals are given:</w:t>
      </w:r>
    </w:p>
    <w:p>
      <w:pPr>
        <w:pStyle w:val="12"/>
        <w:tabs>
          <w:tab w:val="right" w:leader="dot" w:pos="9660"/>
        </w:tabs>
      </w:pPr>
      <w:bookmarkStart w:id="1" w:name="_GoBack"/>
      <w:bookmarkEnd w:id="1"/>
      <w:r>
        <w:rPr>
          <w:sz w:val="20"/>
        </w:rPr>
        <w:fldChar w:fldCharType="begin"/>
      </w:r>
      <w:r>
        <w:rPr>
          <w:sz w:val="20"/>
        </w:rPr>
        <w:instrText xml:space="preserve"> TOC \n \t "!ZTE-Proposal-2021 + 段前: 0.5 行 段后: 0.5 行,1,sub-proposal,2,3rd level proposal,3" </w:instrText>
      </w:r>
      <w:r>
        <w:rPr>
          <w:sz w:val="20"/>
        </w:rPr>
        <w:fldChar w:fldCharType="separate"/>
      </w: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rPr>
        <w:t xml:space="preserve">Proposal 1: </w:t>
      </w:r>
      <w:r>
        <w:rPr>
          <w:rFonts w:hint="eastAsia"/>
          <w:lang w:val="en-US" w:eastAsia="zh-CN"/>
        </w:rPr>
        <w:t>T</w:t>
      </w:r>
      <w:r>
        <w:rPr>
          <w:rFonts w:hint="eastAsia"/>
          <w:bCs/>
          <w:i/>
          <w:lang w:val="en-US" w:eastAsia="zh-CN"/>
        </w:rPr>
        <w:t xml:space="preserve">o clarify to RAN3 that the intention of RB set configuration in RAN1 is </w:t>
      </w:r>
      <w:r>
        <w:rPr>
          <w:rFonts w:hint="eastAsia"/>
          <w:lang w:val="en-US" w:eastAsia="zh-CN"/>
        </w:rPr>
        <w:t>to achieve simultaneous operation of an IAB DU and its co-located IAB MT, and RB set configuration can be applied to IAB donor-DU if new use cases are identified by RAN3.</w:t>
      </w:r>
    </w:p>
    <w:p>
      <w:pPr>
        <w:pStyle w:val="12"/>
        <w:tabs>
          <w:tab w:val="right" w:leader="dot" w:pos="966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rPr>
        <w:t xml:space="preserve">Proposal 2: </w:t>
      </w:r>
      <w:r>
        <w:rPr>
          <w:rFonts w:hint="eastAsia"/>
          <w:lang w:val="en-US" w:eastAsia="zh-CN"/>
        </w:rPr>
        <w:t xml:space="preserve">Confirm with </w:t>
      </w:r>
      <w:r>
        <w:rPr>
          <w:rFonts w:hint="eastAsia"/>
          <w:bCs/>
          <w:i/>
          <w:lang w:val="en-US" w:eastAsia="zh-CN"/>
        </w:rPr>
        <w:t xml:space="preserve">RAN3 that </w:t>
      </w:r>
      <w:r>
        <w:rPr>
          <w:rFonts w:hint="default" w:ascii="Times New Roman" w:hAnsi="Times New Roman" w:cs="Times New Roman"/>
          <w:szCs w:val="20"/>
        </w:rPr>
        <w:t>the current F1AP signalling about RB set size is clear enough</w:t>
      </w:r>
      <w:r>
        <w:rPr>
          <w:rFonts w:hint="eastAsia"/>
          <w:bCs/>
          <w:i/>
          <w:lang w:val="en-US" w:eastAsia="zh-CN"/>
        </w:rPr>
        <w:t>.</w:t>
      </w:r>
    </w:p>
    <w:p>
      <w:pPr>
        <w:pStyle w:val="12"/>
        <w:tabs>
          <w:tab w:val="left" w:pos="1260"/>
          <w:tab w:val="right" w:pos="9650"/>
        </w:tabs>
        <w:spacing w:before="120" w:after="120"/>
      </w:pPr>
      <w:r>
        <w:fldChar w:fldCharType="end"/>
      </w:r>
    </w:p>
    <w:p>
      <w:pPr>
        <w:pStyle w:val="2"/>
        <w:spacing w:before="120" w:after="120"/>
        <w:ind w:left="0"/>
        <w:rPr>
          <w:rFonts w:eastAsia="宋体"/>
        </w:rPr>
      </w:pPr>
      <w:bookmarkStart w:id="0" w:name="_Toc19236"/>
      <w:r>
        <w:rPr>
          <w:rFonts w:hint="eastAsia" w:eastAsia="宋体"/>
        </w:rPr>
        <w:t>Reference</w:t>
      </w:r>
      <w:r>
        <w:rPr>
          <w:rFonts w:eastAsia="宋体"/>
        </w:rPr>
        <w:t>s</w:t>
      </w:r>
      <w:bookmarkEnd w:id="0"/>
    </w:p>
    <w:p>
      <w:pPr>
        <w:pStyle w:val="27"/>
        <w:spacing w:before="120" w:after="120"/>
        <w:rPr>
          <w:sz w:val="20"/>
          <w:szCs w:val="20"/>
        </w:rPr>
      </w:pPr>
      <w:r>
        <w:rPr>
          <w:rFonts w:hint="eastAsia"/>
          <w:sz w:val="20"/>
          <w:szCs w:val="20"/>
        </w:rPr>
        <w:t>R1-220</w:t>
      </w:r>
      <w:r>
        <w:rPr>
          <w:rFonts w:hint="eastAsia"/>
          <w:sz w:val="20"/>
          <w:szCs w:val="20"/>
          <w:lang w:val="en-US" w:eastAsia="zh-CN"/>
        </w:rPr>
        <w:t>5705</w:t>
      </w:r>
      <w:r>
        <w:rPr>
          <w:rFonts w:hint="eastAsia"/>
          <w:sz w:val="20"/>
          <w:szCs w:val="20"/>
        </w:rPr>
        <w:t>(R</w:t>
      </w:r>
      <w:r>
        <w:rPr>
          <w:rFonts w:hint="eastAsia"/>
          <w:sz w:val="20"/>
          <w:szCs w:val="20"/>
          <w:lang w:val="en-US" w:eastAsia="zh-CN"/>
        </w:rPr>
        <w:t>3</w:t>
      </w:r>
      <w:r>
        <w:rPr>
          <w:rFonts w:hint="eastAsia"/>
          <w:sz w:val="20"/>
          <w:szCs w:val="20"/>
        </w:rPr>
        <w:t>-22</w:t>
      </w:r>
      <w:r>
        <w:rPr>
          <w:rFonts w:hint="eastAsia"/>
          <w:sz w:val="20"/>
          <w:szCs w:val="20"/>
          <w:lang w:val="en-US" w:eastAsia="zh-CN"/>
        </w:rPr>
        <w:t>4031</w:t>
      </w:r>
      <w:r>
        <w:rPr>
          <w:rFonts w:hint="eastAsia"/>
          <w:sz w:val="20"/>
          <w:szCs w:val="20"/>
        </w:rPr>
        <w:t xml:space="preserve">), </w:t>
      </w:r>
      <w:r>
        <w:rPr>
          <w:rFonts w:hint="eastAsia"/>
          <w:szCs w:val="22"/>
        </w:rPr>
        <w:t>LS on</w:t>
      </w:r>
      <w:r>
        <w:rPr>
          <w:rFonts w:hint="eastAsia"/>
          <w:szCs w:val="22"/>
          <w:lang w:val="en-US" w:eastAsia="zh-CN"/>
        </w:rPr>
        <w:t xml:space="preserve"> RB set configuration for IAB</w:t>
      </w:r>
      <w:r>
        <w:rPr>
          <w:rFonts w:hint="eastAsia"/>
          <w:sz w:val="20"/>
          <w:szCs w:val="20"/>
          <w:lang w:val="en-US" w:eastAsia="zh-CN"/>
        </w:rPr>
        <w:t>, RAN3</w:t>
      </w:r>
    </w:p>
    <w:p>
      <w:pPr>
        <w:spacing w:before="120" w:after="120"/>
      </w:pPr>
    </w:p>
    <w:p>
      <w:pPr>
        <w:spacing w:before="120" w:after="120"/>
      </w:pPr>
    </w:p>
    <w:p>
      <w:pPr>
        <w:spacing w:before="120" w:after="120"/>
        <w:rPr>
          <w:sz w:val="20"/>
        </w:rPr>
      </w:pPr>
    </w:p>
    <w:p>
      <w:pPr>
        <w:spacing w:before="120" w:after="120"/>
        <w:rPr>
          <w:sz w:val="20"/>
        </w:rPr>
      </w:pPr>
    </w:p>
    <w:p>
      <w:pPr>
        <w:spacing w:before="120" w:after="120"/>
        <w:rPr>
          <w:sz w:val="20"/>
        </w:rPr>
      </w:pPr>
    </w:p>
    <w:p>
      <w:pPr>
        <w:spacing w:before="120" w:after="120"/>
        <w:rPr>
          <w:sz w:val="20"/>
        </w:rPr>
      </w:pPr>
    </w:p>
    <w:sectPr>
      <w:headerReference r:id="rId6" w:type="first"/>
      <w:footerReference r:id="rId9" w:type="first"/>
      <w:headerReference r:id="rId4" w:type="default"/>
      <w:footerReference r:id="rId7" w:type="default"/>
      <w:headerReference r:id="rId5" w:type="even"/>
      <w:footerReference r:id="rId8"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Cambria">
    <w:panose1 w:val="02040503050406030204"/>
    <w:charset w:val="00"/>
    <w:family w:val="roman"/>
    <w:pitch w:val="default"/>
    <w:sig w:usb0="E00006FF" w:usb1="420024FF" w:usb2="02000000" w:usb3="00000000" w:csb0="2000019F" w:csb1="00000000"/>
  </w:font>
  <w:font w:name="Wingdings 2">
    <w:altName w:val="Wingdings"/>
    <w:panose1 w:val="05020102010507070707"/>
    <w:charset w:val="02"/>
    <w:family w:val="roman"/>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pE+Zc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J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RPmXMQIAAGMEAAAOAAAAAAAAAAEAIAAAAB8BAABkcnMvZTJvRG9jLnhtbFBLBQYA&#10;AAAABgAGAFkBAADCBQAAAAA=&#10;">
              <v:fill on="f" focussize="0,0"/>
              <v:stroke on="f" weight="0.5pt"/>
              <v:imagedata o:title=""/>
              <o:lock v:ext="edit" aspectratio="f"/>
              <v:textbox inset="0mm,0mm,0mm,0mm" style="mso-fit-shape-to-text:t;">
                <w:txbxContent>
                  <w:p>
                    <w:pPr>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F0BA4"/>
    <w:multiLevelType w:val="singleLevel"/>
    <w:tmpl w:val="B15F0BA4"/>
    <w:lvl w:ilvl="0" w:tentative="0">
      <w:start w:val="1"/>
      <w:numFmt w:val="bullet"/>
      <w:pStyle w:val="25"/>
      <w:lvlText w:val="-"/>
      <w:lvlJc w:val="left"/>
      <w:pPr>
        <w:ind w:left="420" w:hanging="420"/>
      </w:pPr>
      <w:rPr>
        <w:rFonts w:hint="default" w:ascii="Arial" w:hAnsi="Arial" w:cs="Arial"/>
      </w:rPr>
    </w:lvl>
  </w:abstractNum>
  <w:abstractNum w:abstractNumId="1">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2">
    <w:nsid w:val="1E9E3F0D"/>
    <w:multiLevelType w:val="multilevel"/>
    <w:tmpl w:val="1E9E3F0D"/>
    <w:lvl w:ilvl="0" w:tentative="0">
      <w:start w:val="1"/>
      <w:numFmt w:val="decimal"/>
      <w:pStyle w:val="21"/>
      <w:lvlText w:val="Observation %1: "/>
      <w:lvlJc w:val="left"/>
      <w:pPr>
        <w:ind w:left="420" w:hanging="420"/>
      </w:pPr>
      <w:rPr>
        <w:rFonts w:hint="eastAsia" w:ascii="Times New Roman" w:hAnsi="Times New Roman"/>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27"/>
      <w:lvlText w:val="[%1]"/>
      <w:lvlJc w:val="left"/>
      <w:pPr>
        <w:tabs>
          <w:tab w:val="left" w:pos="360"/>
        </w:tabs>
        <w:ind w:left="360" w:hanging="360"/>
      </w:pPr>
    </w:lvl>
  </w:abstractNum>
  <w:abstractNum w:abstractNumId="4">
    <w:nsid w:val="44AD6A80"/>
    <w:multiLevelType w:val="multilevel"/>
    <w:tmpl w:val="44AD6A8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08BE803"/>
    <w:multiLevelType w:val="singleLevel"/>
    <w:tmpl w:val="508BE803"/>
    <w:lvl w:ilvl="0" w:tentative="0">
      <w:start w:val="1"/>
      <w:numFmt w:val="bullet"/>
      <w:pStyle w:val="26"/>
      <w:lvlText w:val="-"/>
      <w:lvlJc w:val="left"/>
      <w:pPr>
        <w:ind w:left="420" w:hanging="420"/>
      </w:pPr>
      <w:rPr>
        <w:rFonts w:hint="default" w:ascii="Arial" w:hAnsi="Arial" w:cs="Arial"/>
      </w:rPr>
    </w:lvl>
  </w:abstractNum>
  <w:abstractNum w:abstractNumId="6">
    <w:nsid w:val="5D763755"/>
    <w:multiLevelType w:val="multilevel"/>
    <w:tmpl w:val="5D763755"/>
    <w:lvl w:ilvl="0" w:tentative="0">
      <w:start w:val="1"/>
      <w:numFmt w:val="decimal"/>
      <w:pStyle w:val="22"/>
      <w:lvlText w:val="Proposal %1: "/>
      <w:lvlJc w:val="left"/>
      <w:pPr>
        <w:ind w:left="420" w:hanging="420"/>
      </w:pPr>
      <w:rPr>
        <w:rFonts w:hint="eastAsia" w:ascii="Times New Roman" w:hAnsi="Times New Roman"/>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B450D4A"/>
    <w:multiLevelType w:val="multilevel"/>
    <w:tmpl w:val="6B450D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DC436CD"/>
    <w:multiLevelType w:val="singleLevel"/>
    <w:tmpl w:val="7DC436CD"/>
    <w:lvl w:ilvl="0" w:tentative="0">
      <w:start w:val="1"/>
      <w:numFmt w:val="bullet"/>
      <w:pStyle w:val="23"/>
      <w:lvlText w:val="•"/>
      <w:lvlJc w:val="left"/>
      <w:pPr>
        <w:tabs>
          <w:tab w:val="left" w:pos="420"/>
        </w:tabs>
        <w:ind w:left="420" w:hanging="378"/>
      </w:pPr>
      <w:rPr>
        <w:rFonts w:hint="default" w:ascii="Arial" w:hAnsi="Arial" w:cs="Arial"/>
      </w:rPr>
    </w:lvl>
  </w:abstractNum>
  <w:num w:numId="1">
    <w:abstractNumId w:val="1"/>
  </w:num>
  <w:num w:numId="2">
    <w:abstractNumId w:val="2"/>
  </w:num>
  <w:num w:numId="3">
    <w:abstractNumId w:val="6"/>
  </w:num>
  <w:num w:numId="4">
    <w:abstractNumId w:val="8"/>
  </w:num>
  <w:num w:numId="5">
    <w:abstractNumId w:val="0"/>
  </w:num>
  <w:num w:numId="6">
    <w:abstractNumId w:val="5"/>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hdrShapeDefaults>
    <o:shapelayout v:ext="edit">
      <o:idmap v:ext="edit" data="3,4"/>
    </o:shapelayout>
  </w:hdrShapeDefaults>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1659"/>
    <w:rsid w:val="00054533"/>
    <w:rsid w:val="000B1599"/>
    <w:rsid w:val="000B43F8"/>
    <w:rsid w:val="00103EF6"/>
    <w:rsid w:val="00172A27"/>
    <w:rsid w:val="001768FE"/>
    <w:rsid w:val="00186D46"/>
    <w:rsid w:val="00193046"/>
    <w:rsid w:val="001B502E"/>
    <w:rsid w:val="002759E8"/>
    <w:rsid w:val="00277039"/>
    <w:rsid w:val="00283D2D"/>
    <w:rsid w:val="00285767"/>
    <w:rsid w:val="00301063"/>
    <w:rsid w:val="003161BA"/>
    <w:rsid w:val="00324214"/>
    <w:rsid w:val="00375023"/>
    <w:rsid w:val="00390FBF"/>
    <w:rsid w:val="00395F21"/>
    <w:rsid w:val="00422D64"/>
    <w:rsid w:val="004735F6"/>
    <w:rsid w:val="004B3D08"/>
    <w:rsid w:val="00502841"/>
    <w:rsid w:val="00515411"/>
    <w:rsid w:val="00572097"/>
    <w:rsid w:val="0059672B"/>
    <w:rsid w:val="005B065E"/>
    <w:rsid w:val="005C70B9"/>
    <w:rsid w:val="005D1681"/>
    <w:rsid w:val="00650732"/>
    <w:rsid w:val="006A15E8"/>
    <w:rsid w:val="006B023D"/>
    <w:rsid w:val="00724E53"/>
    <w:rsid w:val="00744316"/>
    <w:rsid w:val="007A05EB"/>
    <w:rsid w:val="007E7A15"/>
    <w:rsid w:val="00820E09"/>
    <w:rsid w:val="00890F3B"/>
    <w:rsid w:val="008A3751"/>
    <w:rsid w:val="008F30BC"/>
    <w:rsid w:val="008F3CF6"/>
    <w:rsid w:val="009074BF"/>
    <w:rsid w:val="0096044C"/>
    <w:rsid w:val="00964320"/>
    <w:rsid w:val="00981B46"/>
    <w:rsid w:val="00992D44"/>
    <w:rsid w:val="00995F9D"/>
    <w:rsid w:val="009F756D"/>
    <w:rsid w:val="00A40102"/>
    <w:rsid w:val="00A45774"/>
    <w:rsid w:val="00A50086"/>
    <w:rsid w:val="00A663B0"/>
    <w:rsid w:val="00A9352F"/>
    <w:rsid w:val="00AC4CB5"/>
    <w:rsid w:val="00B03CE5"/>
    <w:rsid w:val="00B22CD0"/>
    <w:rsid w:val="00B66CB1"/>
    <w:rsid w:val="00B92281"/>
    <w:rsid w:val="00BA3F50"/>
    <w:rsid w:val="00BB0B7F"/>
    <w:rsid w:val="00C15E86"/>
    <w:rsid w:val="00C448B7"/>
    <w:rsid w:val="00C81DA7"/>
    <w:rsid w:val="00D25947"/>
    <w:rsid w:val="00D44606"/>
    <w:rsid w:val="00D65A96"/>
    <w:rsid w:val="00DE79EC"/>
    <w:rsid w:val="00DF0709"/>
    <w:rsid w:val="00DF75DB"/>
    <w:rsid w:val="00E02255"/>
    <w:rsid w:val="00E35DE6"/>
    <w:rsid w:val="00E5333A"/>
    <w:rsid w:val="00E74F94"/>
    <w:rsid w:val="00E84CA1"/>
    <w:rsid w:val="00EA2C10"/>
    <w:rsid w:val="00EB5AE3"/>
    <w:rsid w:val="00F31105"/>
    <w:rsid w:val="00F509E9"/>
    <w:rsid w:val="00F65BA8"/>
    <w:rsid w:val="00F8394B"/>
    <w:rsid w:val="00FB7661"/>
    <w:rsid w:val="00FC6E1D"/>
    <w:rsid w:val="00FD2DE4"/>
    <w:rsid w:val="00FF38B8"/>
    <w:rsid w:val="01764F01"/>
    <w:rsid w:val="024D6B6A"/>
    <w:rsid w:val="029B04E7"/>
    <w:rsid w:val="03073BDC"/>
    <w:rsid w:val="030C5976"/>
    <w:rsid w:val="033F44DC"/>
    <w:rsid w:val="03AC76E1"/>
    <w:rsid w:val="043168B5"/>
    <w:rsid w:val="0555228E"/>
    <w:rsid w:val="05756F71"/>
    <w:rsid w:val="059D1E39"/>
    <w:rsid w:val="05E078B3"/>
    <w:rsid w:val="077D0583"/>
    <w:rsid w:val="079724D0"/>
    <w:rsid w:val="082A352F"/>
    <w:rsid w:val="08C349D1"/>
    <w:rsid w:val="08FD1F99"/>
    <w:rsid w:val="09143C76"/>
    <w:rsid w:val="09731CB9"/>
    <w:rsid w:val="09F67CD5"/>
    <w:rsid w:val="0B584155"/>
    <w:rsid w:val="0B9E71DF"/>
    <w:rsid w:val="0C1260B3"/>
    <w:rsid w:val="0C4E6E32"/>
    <w:rsid w:val="0C9343B7"/>
    <w:rsid w:val="0C9D30C2"/>
    <w:rsid w:val="0D9D65F4"/>
    <w:rsid w:val="0E172BD0"/>
    <w:rsid w:val="0EDF02B5"/>
    <w:rsid w:val="10936355"/>
    <w:rsid w:val="10A50104"/>
    <w:rsid w:val="115B3410"/>
    <w:rsid w:val="119D7849"/>
    <w:rsid w:val="1242135C"/>
    <w:rsid w:val="12481B80"/>
    <w:rsid w:val="134848F1"/>
    <w:rsid w:val="13A1683F"/>
    <w:rsid w:val="14892324"/>
    <w:rsid w:val="14960C8D"/>
    <w:rsid w:val="14C90537"/>
    <w:rsid w:val="14DA3DA1"/>
    <w:rsid w:val="150864ED"/>
    <w:rsid w:val="16192595"/>
    <w:rsid w:val="16353418"/>
    <w:rsid w:val="1683145D"/>
    <w:rsid w:val="17155857"/>
    <w:rsid w:val="17950508"/>
    <w:rsid w:val="17AD7BB9"/>
    <w:rsid w:val="19010C43"/>
    <w:rsid w:val="19084C73"/>
    <w:rsid w:val="1A054259"/>
    <w:rsid w:val="1AA20BEC"/>
    <w:rsid w:val="1B356805"/>
    <w:rsid w:val="1B7F6005"/>
    <w:rsid w:val="1B9D73EE"/>
    <w:rsid w:val="1C132CB9"/>
    <w:rsid w:val="1CCC26CA"/>
    <w:rsid w:val="1DE35C1C"/>
    <w:rsid w:val="1E056606"/>
    <w:rsid w:val="1E360BCD"/>
    <w:rsid w:val="1E9D6342"/>
    <w:rsid w:val="1F5E5092"/>
    <w:rsid w:val="204E6676"/>
    <w:rsid w:val="21567631"/>
    <w:rsid w:val="2195668B"/>
    <w:rsid w:val="21BE5AD4"/>
    <w:rsid w:val="23081A49"/>
    <w:rsid w:val="2334383D"/>
    <w:rsid w:val="23CE335E"/>
    <w:rsid w:val="23D54CEE"/>
    <w:rsid w:val="23F24242"/>
    <w:rsid w:val="245C52F8"/>
    <w:rsid w:val="2463385E"/>
    <w:rsid w:val="250D568B"/>
    <w:rsid w:val="25134332"/>
    <w:rsid w:val="257E508F"/>
    <w:rsid w:val="26BF5712"/>
    <w:rsid w:val="277108D4"/>
    <w:rsid w:val="27AB7429"/>
    <w:rsid w:val="285C053E"/>
    <w:rsid w:val="287D0A39"/>
    <w:rsid w:val="29FA7F26"/>
    <w:rsid w:val="2A0F29F0"/>
    <w:rsid w:val="2A6A34CE"/>
    <w:rsid w:val="2B774832"/>
    <w:rsid w:val="2BD02C7D"/>
    <w:rsid w:val="2C3E7B79"/>
    <w:rsid w:val="2C900EB5"/>
    <w:rsid w:val="2C946521"/>
    <w:rsid w:val="2CDE11E4"/>
    <w:rsid w:val="2CFD5C55"/>
    <w:rsid w:val="2F1251F2"/>
    <w:rsid w:val="30962F3E"/>
    <w:rsid w:val="30D17E68"/>
    <w:rsid w:val="30FF2795"/>
    <w:rsid w:val="329A6ACE"/>
    <w:rsid w:val="33607071"/>
    <w:rsid w:val="35EB3B29"/>
    <w:rsid w:val="360B1D73"/>
    <w:rsid w:val="361F3323"/>
    <w:rsid w:val="36E93760"/>
    <w:rsid w:val="377E620D"/>
    <w:rsid w:val="3784394E"/>
    <w:rsid w:val="38AE3BB0"/>
    <w:rsid w:val="397D20CB"/>
    <w:rsid w:val="3AC6401E"/>
    <w:rsid w:val="3ACB5746"/>
    <w:rsid w:val="3AEE67ED"/>
    <w:rsid w:val="3BB20883"/>
    <w:rsid w:val="3C935077"/>
    <w:rsid w:val="3CCC3EC3"/>
    <w:rsid w:val="3CD06756"/>
    <w:rsid w:val="3DA8275C"/>
    <w:rsid w:val="3E441C7D"/>
    <w:rsid w:val="3E78376D"/>
    <w:rsid w:val="3FC956FF"/>
    <w:rsid w:val="40684003"/>
    <w:rsid w:val="40A36A71"/>
    <w:rsid w:val="410E4736"/>
    <w:rsid w:val="41D3631F"/>
    <w:rsid w:val="41F466FD"/>
    <w:rsid w:val="42A67A24"/>
    <w:rsid w:val="42D846B9"/>
    <w:rsid w:val="430D7A82"/>
    <w:rsid w:val="43263C93"/>
    <w:rsid w:val="4372773D"/>
    <w:rsid w:val="43A55B32"/>
    <w:rsid w:val="440D5045"/>
    <w:rsid w:val="444D19E9"/>
    <w:rsid w:val="44F3408E"/>
    <w:rsid w:val="45BE6191"/>
    <w:rsid w:val="460C5979"/>
    <w:rsid w:val="47C01792"/>
    <w:rsid w:val="48045A87"/>
    <w:rsid w:val="4808150F"/>
    <w:rsid w:val="49C16000"/>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20262"/>
    <w:rsid w:val="51867298"/>
    <w:rsid w:val="51AC0F10"/>
    <w:rsid w:val="52195EDF"/>
    <w:rsid w:val="52313387"/>
    <w:rsid w:val="529F0593"/>
    <w:rsid w:val="52E04D27"/>
    <w:rsid w:val="539A390F"/>
    <w:rsid w:val="53CF14EE"/>
    <w:rsid w:val="53DB3477"/>
    <w:rsid w:val="54AF6B42"/>
    <w:rsid w:val="55DD6F2A"/>
    <w:rsid w:val="56E23970"/>
    <w:rsid w:val="577A3C7D"/>
    <w:rsid w:val="578F220A"/>
    <w:rsid w:val="57FC07D9"/>
    <w:rsid w:val="58500F22"/>
    <w:rsid w:val="591C0009"/>
    <w:rsid w:val="5ACF0F3A"/>
    <w:rsid w:val="5C3C5B68"/>
    <w:rsid w:val="5C6B1600"/>
    <w:rsid w:val="5C921AD0"/>
    <w:rsid w:val="5D567438"/>
    <w:rsid w:val="5DD841D5"/>
    <w:rsid w:val="5DFD51DB"/>
    <w:rsid w:val="5E0D36E5"/>
    <w:rsid w:val="5E562441"/>
    <w:rsid w:val="5E7F7360"/>
    <w:rsid w:val="5EB903DA"/>
    <w:rsid w:val="5FF53D41"/>
    <w:rsid w:val="60140907"/>
    <w:rsid w:val="607C3753"/>
    <w:rsid w:val="60C30855"/>
    <w:rsid w:val="61421EFD"/>
    <w:rsid w:val="615C5041"/>
    <w:rsid w:val="62EC53CF"/>
    <w:rsid w:val="63922090"/>
    <w:rsid w:val="64934878"/>
    <w:rsid w:val="64BB40BA"/>
    <w:rsid w:val="664805B8"/>
    <w:rsid w:val="66694851"/>
    <w:rsid w:val="690F418B"/>
    <w:rsid w:val="69CD5766"/>
    <w:rsid w:val="6A154B1E"/>
    <w:rsid w:val="6A2915FB"/>
    <w:rsid w:val="6A7A2736"/>
    <w:rsid w:val="6A7B4B9C"/>
    <w:rsid w:val="6C89456C"/>
    <w:rsid w:val="6D663271"/>
    <w:rsid w:val="6E974E0F"/>
    <w:rsid w:val="6F901B66"/>
    <w:rsid w:val="6FA629D4"/>
    <w:rsid w:val="6FC05247"/>
    <w:rsid w:val="6FD10552"/>
    <w:rsid w:val="70BB2EF0"/>
    <w:rsid w:val="73414765"/>
    <w:rsid w:val="73455C21"/>
    <w:rsid w:val="73C950F4"/>
    <w:rsid w:val="73D425F7"/>
    <w:rsid w:val="74FB1DC8"/>
    <w:rsid w:val="750A202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CC5393C"/>
    <w:rsid w:val="7CC77EC6"/>
    <w:rsid w:val="7D1269F6"/>
    <w:rsid w:val="7D575412"/>
    <w:rsid w:val="7D62117D"/>
    <w:rsid w:val="7DB275A7"/>
    <w:rsid w:val="7DB54254"/>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iPriority="99" w:semiHidden="0"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99"/>
    <w:rPr>
      <w:rFonts w:eastAsia="黑体" w:asciiTheme="majorHAnsi" w:hAnsiTheme="majorHAnsi" w:cstheme="majorBidi"/>
      <w:sz w:val="20"/>
    </w:rPr>
  </w:style>
  <w:style w:type="paragraph" w:styleId="6">
    <w:name w:val="Document Map"/>
    <w:basedOn w:val="1"/>
    <w:link w:val="30"/>
    <w:semiHidden/>
    <w:unhideWhenUsed/>
    <w:qFormat/>
    <w:uiPriority w:val="99"/>
    <w:rPr>
      <w:rFonts w:ascii="宋体"/>
      <w:sz w:val="18"/>
      <w:szCs w:val="18"/>
    </w:rPr>
  </w:style>
  <w:style w:type="paragraph" w:styleId="7">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8">
    <w:name w:val="toc 3"/>
    <w:basedOn w:val="1"/>
    <w:next w:val="1"/>
    <w:unhideWhenUsed/>
    <w:qFormat/>
    <w:uiPriority w:val="39"/>
    <w:pPr>
      <w:ind w:left="880" w:leftChars="400"/>
    </w:pPr>
    <w:rPr>
      <w:b/>
      <w:i/>
      <w:sz w:val="20"/>
    </w:rPr>
  </w:style>
  <w:style w:type="paragraph" w:styleId="9">
    <w:name w:val="Balloon Text"/>
    <w:basedOn w:val="1"/>
    <w:link w:val="33"/>
    <w:semiHidden/>
    <w:unhideWhenUsed/>
    <w:qFormat/>
    <w:uiPriority w:val="99"/>
    <w:rPr>
      <w:sz w:val="18"/>
      <w:szCs w:val="18"/>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rPr>
      <w:b/>
      <w:i/>
      <w:sz w:val="20"/>
    </w:r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unhideWhenUsed/>
    <w:qFormat/>
    <w:uiPriority w:val="39"/>
    <w:pPr>
      <w:snapToGrid w:val="0"/>
      <w:ind w:left="618" w:leftChars="200"/>
    </w:pPr>
    <w:rPr>
      <w:b/>
      <w:i/>
      <w:sz w:val="20"/>
    </w:rPr>
  </w:style>
  <w:style w:type="table" w:styleId="16">
    <w:name w:val="Table Grid"/>
    <w:basedOn w:val="15"/>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styleId="19">
    <w:name w:val="Emphasis"/>
    <w:basedOn w:val="17"/>
    <w:qFormat/>
    <w:uiPriority w:val="20"/>
    <w:rPr>
      <w:i/>
    </w:rPr>
  </w:style>
  <w:style w:type="paragraph" w:customStyle="1" w:styleId="20">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1">
    <w:name w:val="!ZTE-Observation-2021"/>
    <w:basedOn w:val="1"/>
    <w:qFormat/>
    <w:uiPriority w:val="0"/>
    <w:pPr>
      <w:numPr>
        <w:ilvl w:val="0"/>
        <w:numId w:val="2"/>
      </w:numPr>
      <w:snapToGrid w:val="0"/>
      <w:jc w:val="left"/>
      <w:textAlignment w:val="center"/>
    </w:pPr>
    <w:rPr>
      <w:rFonts w:cs="宋体" w:eastAsiaTheme="minorEastAsia"/>
      <w:b/>
      <w:bCs/>
      <w:i/>
      <w:iCs/>
      <w:sz w:val="20"/>
      <w:lang w:val="en-GB" w:eastAsia="en-US"/>
    </w:rPr>
  </w:style>
  <w:style w:type="paragraph" w:customStyle="1" w:styleId="22">
    <w:name w:val="!ZTE-Proposal-2021 + 段前: 0.5 行 段后: 0.5 行"/>
    <w:basedOn w:val="1"/>
    <w:qFormat/>
    <w:uiPriority w:val="0"/>
    <w:pPr>
      <w:numPr>
        <w:ilvl w:val="0"/>
        <w:numId w:val="3"/>
      </w:numPr>
      <w:ind w:left="0" w:firstLine="0"/>
      <w:jc w:val="left"/>
    </w:pPr>
    <w:rPr>
      <w:rFonts w:cs="宋体" w:eastAsiaTheme="minorEastAsia"/>
      <w:b/>
      <w:bCs/>
      <w:i/>
      <w:iCs/>
      <w:sz w:val="20"/>
      <w:lang w:val="en-GB" w:eastAsia="en-US"/>
    </w:rPr>
  </w:style>
  <w:style w:type="paragraph" w:customStyle="1" w:styleId="23">
    <w:name w:val="sub-proposal"/>
    <w:basedOn w:val="1"/>
    <w:qFormat/>
    <w:uiPriority w:val="0"/>
    <w:pPr>
      <w:numPr>
        <w:ilvl w:val="0"/>
        <w:numId w:val="4"/>
      </w:numPr>
      <w:tabs>
        <w:tab w:val="left" w:pos="0"/>
        <w:tab w:val="left" w:pos="807"/>
      </w:tabs>
      <w:jc w:val="left"/>
    </w:pPr>
    <w:rPr>
      <w:rFonts w:eastAsiaTheme="minorEastAsia"/>
      <w:b/>
      <w:bCs/>
      <w:i/>
      <w:iCs/>
      <w:sz w:val="20"/>
      <w:lang w:val="en-GB" w:eastAsia="en-US"/>
    </w:rPr>
  </w:style>
  <w:style w:type="paragraph" w:customStyle="1" w:styleId="24">
    <w:name w:val="sub-observation"/>
    <w:basedOn w:val="23"/>
    <w:qFormat/>
    <w:uiPriority w:val="0"/>
  </w:style>
  <w:style w:type="paragraph" w:customStyle="1" w:styleId="25">
    <w:name w:val="3rd level proposal"/>
    <w:basedOn w:val="23"/>
    <w:qFormat/>
    <w:uiPriority w:val="0"/>
    <w:pPr>
      <w:numPr>
        <w:ilvl w:val="0"/>
        <w:numId w:val="5"/>
      </w:numPr>
    </w:pPr>
  </w:style>
  <w:style w:type="paragraph" w:customStyle="1" w:styleId="26">
    <w:name w:val="3rd level observation"/>
    <w:basedOn w:val="24"/>
    <w:qFormat/>
    <w:uiPriority w:val="0"/>
    <w:pPr>
      <w:numPr>
        <w:ilvl w:val="0"/>
        <w:numId w:val="6"/>
      </w:numPr>
    </w:pPr>
  </w:style>
  <w:style w:type="paragraph" w:customStyle="1" w:styleId="27">
    <w:name w:val="References"/>
    <w:basedOn w:val="1"/>
    <w:qFormat/>
    <w:uiPriority w:val="0"/>
    <w:pPr>
      <w:numPr>
        <w:ilvl w:val="0"/>
        <w:numId w:val="7"/>
      </w:numPr>
      <w:spacing w:after="60"/>
    </w:pPr>
    <w:rPr>
      <w:szCs w:val="16"/>
    </w:rPr>
  </w:style>
  <w:style w:type="paragraph" w:styleId="28">
    <w:name w:val="List Paragraph"/>
    <w:basedOn w:val="1"/>
    <w:link w:val="31"/>
    <w:qFormat/>
    <w:uiPriority w:val="34"/>
    <w:pPr>
      <w:spacing w:beforeLines="0"/>
      <w:ind w:left="720"/>
      <w:contextualSpacing/>
    </w:pPr>
    <w:rPr>
      <w:rFonts w:eastAsia="Times New Roman"/>
      <w:sz w:val="24"/>
      <w:szCs w:val="24"/>
    </w:rPr>
  </w:style>
  <w:style w:type="character" w:customStyle="1" w:styleId="29">
    <w:name w:val="页眉 Char"/>
    <w:basedOn w:val="17"/>
    <w:link w:val="11"/>
    <w:qFormat/>
    <w:uiPriority w:val="0"/>
    <w:rPr>
      <w:kern w:val="2"/>
      <w:sz w:val="18"/>
      <w:szCs w:val="18"/>
    </w:rPr>
  </w:style>
  <w:style w:type="character" w:customStyle="1" w:styleId="30">
    <w:name w:val="文档结构图 Char"/>
    <w:basedOn w:val="17"/>
    <w:link w:val="6"/>
    <w:semiHidden/>
    <w:qFormat/>
    <w:uiPriority w:val="99"/>
    <w:rPr>
      <w:rFonts w:ascii="宋体"/>
      <w:kern w:val="2"/>
      <w:sz w:val="18"/>
      <w:szCs w:val="18"/>
    </w:rPr>
  </w:style>
  <w:style w:type="character" w:customStyle="1" w:styleId="31">
    <w:name w:val="列出段落 Char"/>
    <w:link w:val="28"/>
    <w:qFormat/>
    <w:locked/>
    <w:uiPriority w:val="34"/>
    <w:rPr>
      <w:rFonts w:eastAsia="Times New Roman"/>
      <w:kern w:val="2"/>
      <w:sz w:val="24"/>
      <w:szCs w:val="24"/>
    </w:rPr>
  </w:style>
  <w:style w:type="character" w:customStyle="1" w:styleId="32">
    <w:name w:val="apple-converted-space"/>
    <w:qFormat/>
    <w:uiPriority w:val="0"/>
  </w:style>
  <w:style w:type="character" w:customStyle="1" w:styleId="33">
    <w:name w:val="批注框文本 Char"/>
    <w:basedOn w:val="17"/>
    <w:link w:val="9"/>
    <w:semiHidden/>
    <w:qFormat/>
    <w:uiPriority w:val="99"/>
    <w:rPr>
      <w:kern w:val="2"/>
      <w:sz w:val="18"/>
      <w:szCs w:val="18"/>
    </w:rPr>
  </w:style>
  <w:style w:type="character" w:customStyle="1" w:styleId="34">
    <w:name w:val="font61"/>
    <w:basedOn w:val="17"/>
    <w:qFormat/>
    <w:uiPriority w:val="0"/>
    <w:rPr>
      <w:rFonts w:hint="default" w:ascii="Wingdings 2" w:hAnsi="Wingdings 2"/>
      <w:color w:val="000000"/>
      <w:sz w:val="16"/>
      <w:szCs w:val="16"/>
      <w:u w:val="none"/>
    </w:rPr>
  </w:style>
  <w:style w:type="character" w:customStyle="1" w:styleId="35">
    <w:name w:val="font41"/>
    <w:basedOn w:val="17"/>
    <w:qFormat/>
    <w:uiPriority w:val="0"/>
    <w:rPr>
      <w:rFonts w:hint="default" w:ascii="Arial" w:hAnsi="Arial" w:cs="Arial"/>
      <w:color w:val="000000"/>
      <w:sz w:val="16"/>
      <w:szCs w:val="16"/>
      <w:u w:val="none"/>
    </w:rPr>
  </w:style>
  <w:style w:type="paragraph" w:customStyle="1" w:styleId="36">
    <w:name w:val="EQ"/>
    <w:basedOn w:val="1"/>
    <w:next w:val="1"/>
    <w:qFormat/>
    <w:uiPriority w:val="0"/>
    <w:pPr>
      <w:keepLines/>
      <w:widowControl w:val="0"/>
      <w:spacing w:beforeLines="0" w:beforeAutospacing="1" w:afterLines="0"/>
      <w:jc w:val="left"/>
    </w:pPr>
    <w:rPr>
      <w:kern w:val="0"/>
      <w:sz w:val="24"/>
      <w:szCs w:val="24"/>
    </w:rPr>
  </w:style>
  <w:style w:type="paragraph" w:customStyle="1" w:styleId="37">
    <w:name w:val="B2"/>
    <w:basedOn w:val="1"/>
    <w:qFormat/>
    <w:uiPriority w:val="0"/>
    <w:pPr>
      <w:spacing w:beforeLines="0" w:beforeAutospacing="1" w:afterLines="0"/>
      <w:ind w:left="851" w:hanging="284"/>
      <w:jc w:val="left"/>
    </w:pPr>
    <w:rPr>
      <w:kern w:val="0"/>
      <w:sz w:val="24"/>
      <w:szCs w:val="24"/>
    </w:rPr>
  </w:style>
  <w:style w:type="paragraph" w:customStyle="1" w:styleId="38">
    <w:name w:val="B1"/>
    <w:basedOn w:val="1"/>
    <w:qFormat/>
    <w:uiPriority w:val="0"/>
    <w:pPr>
      <w:spacing w:beforeLines="0" w:beforeAutospacing="1" w:afterLines="0"/>
      <w:ind w:left="568" w:hanging="284"/>
      <w:jc w:val="left"/>
    </w:pPr>
    <w:rPr>
      <w:kern w:val="0"/>
      <w:sz w:val="24"/>
      <w:szCs w:val="24"/>
    </w:rPr>
  </w:style>
  <w:style w:type="paragraph" w:customStyle="1" w:styleId="39">
    <w:name w:val="TAL"/>
    <w:basedOn w:val="1"/>
    <w:qFormat/>
    <w:uiPriority w:val="0"/>
    <w:pPr>
      <w:keepNext/>
      <w:keepLines/>
    </w:pPr>
    <w:rPr>
      <w:rFonts w:ascii="Arial" w:hAnsi="Arial" w:eastAsiaTheme="minorEastAsia"/>
      <w:sz w:val="18"/>
      <w:lang w:eastAsia="en-US"/>
    </w:rPr>
  </w:style>
  <w:style w:type="paragraph" w:customStyle="1" w:styleId="40">
    <w:name w:val="Comments"/>
    <w:basedOn w:val="1"/>
    <w:qFormat/>
    <w:uiPriority w:val="0"/>
    <w:pPr>
      <w:overflowPunct/>
      <w:autoSpaceDE/>
      <w:autoSpaceDN/>
      <w:adjustRightInd/>
      <w:spacing w:before="40" w:after="0"/>
      <w:textAlignment w:val="auto"/>
    </w:pPr>
    <w:rPr>
      <w:rFonts w:ascii="Arial" w:hAnsi="Arial" w:eastAsia="MS Mincho"/>
      <w:i/>
      <w:sz w:val="18"/>
      <w:szCs w:val="24"/>
    </w:rPr>
  </w:style>
  <w:style w:type="paragraph" w:customStyle="1" w:styleId="41">
    <w:name w:val="CR Cover Page"/>
    <w:qFormat/>
    <w:uiPriority w:val="0"/>
    <w:pPr>
      <w:spacing w:after="120" w:line="259" w:lineRule="auto"/>
    </w:pPr>
    <w:rPr>
      <w:rFonts w:ascii="Arial" w:hAnsi="Arial" w:eastAsia="Batang" w:cs="Times New Roman"/>
      <w:lang w:val="en-GB" w:eastAsia="en-US" w:bidi="ar-SA"/>
    </w:rPr>
  </w:style>
  <w:style w:type="paragraph" w:customStyle="1" w:styleId="42">
    <w:name w:val="TAH"/>
    <w:basedOn w:val="1"/>
    <w:qFormat/>
    <w:uiPriority w:val="0"/>
    <w:pPr>
      <w:keepNext/>
      <w:keepLines/>
      <w:overflowPunct w:val="0"/>
      <w:autoSpaceDE w:val="0"/>
      <w:autoSpaceDN w:val="0"/>
      <w:adjustRightInd w:val="0"/>
      <w:jc w:val="center"/>
      <w:textAlignment w:val="baseline"/>
    </w:pPr>
    <w:rPr>
      <w:rFonts w:ascii="Arial" w:hAnsi="Arial" w:eastAsia="Times New Roman"/>
      <w:b/>
      <w:sz w:val="18"/>
      <w:lang w:eastAsia="ko-KR"/>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1916E9-47AD-4BF9-A66B-E40B0B9B72E5}">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1712</Words>
  <Characters>9762</Characters>
  <Lines>81</Lines>
  <Paragraphs>22</Paragraphs>
  <TotalTime>0</TotalTime>
  <ScaleCrop>false</ScaleCrop>
  <LinksUpToDate>false</LinksUpToDate>
  <CharactersWithSpaces>11452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2022-02-08T12:36:00Z</dcterms:created>
  <dc:creator>ZTE</dc:creator>
  <cp:lastModifiedBy>10110583</cp:lastModifiedBy>
  <dcterms:modified xsi:type="dcterms:W3CDTF">2022-08-12T08:15:32Z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